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FE4CA">
      <w:pPr>
        <w:jc w:val="center"/>
        <w:rPr>
          <w:rFonts w:eastAsia="方正仿宋_GB2312"/>
          <w:sz w:val="24"/>
          <w:szCs w:val="24"/>
          <w:u w:val="single"/>
        </w:rPr>
      </w:pPr>
    </w:p>
    <w:p w14:paraId="40DAF5AC">
      <w:pPr>
        <w:keepNext w:val="0"/>
        <w:keepLines w:val="0"/>
        <w:pageBreakBefore w:val="0"/>
        <w:widowControl w:val="0"/>
        <w:kinsoku/>
        <w:wordWrap/>
        <w:overflowPunct/>
        <w:topLinePunct w:val="0"/>
        <w:autoSpaceDE/>
        <w:autoSpaceDN/>
        <w:bidi w:val="0"/>
        <w:adjustRightInd/>
        <w:snapToGrid/>
        <w:spacing w:line="240" w:lineRule="auto"/>
        <w:ind w:left="-634" w:leftChars="-302" w:firstLine="17" w:firstLineChars="0"/>
        <w:textAlignment w:val="auto"/>
        <w:rPr>
          <w:rFonts w:hint="eastAsia" w:eastAsia="方正仿宋_GB2312"/>
          <w:sz w:val="18"/>
          <w:szCs w:val="18"/>
          <w:lang w:val="en-US" w:eastAsia="zh-CN"/>
        </w:rPr>
      </w:pPr>
    </w:p>
    <w:p w14:paraId="56A0D945">
      <w:pPr>
        <w:spacing w:before="200" w:after="80"/>
      </w:pPr>
      <w:r>
        <w:rPr>
          <w:rFonts w:ascii="黑体" w:hAnsi="黑体" w:eastAsia="黑体" w:cs="Times New Roman"/>
          <w:b/>
          <w:sz w:val="28"/>
        </w:rPr>
        <w:t>一、项目背景</w:t>
      </w:r>
    </w:p>
    <w:p w14:paraId="5A38918A">
      <w:pPr>
        <w:spacing w:after="80" w:line="312" w:lineRule="auto"/>
        <w:ind w:firstLine="480" w:firstLineChars="200"/>
      </w:pPr>
      <w:r>
        <w:rPr>
          <w:rFonts w:ascii="宋体" w:hAnsi="宋体" w:eastAsia="仿宋" w:cs="Times New Roman"/>
          <w:b w:val="0"/>
          <w:sz w:val="24"/>
        </w:rPr>
        <w:t>为贯彻落实国家《信息安全等级保护管理办法》（公通字[2007]43号）、教育部、公安部《关于全面推进教育行业信息安全等级保护工作的通知》（教技[2015]2号）、教育部办公厅《关于组织开展部属单位信息安全等级保护工作的通知》（教技厅函[2015]68号）、江苏省教育厅《关于认真落实教育部公安部全面推进教育行业信息安全等级保护工作要求的通知》（苏教办电[2015]4号）等文件的相关要求，我院积极推进学院网络信息安全等级保护工作，对南京师范大学中北学院丹阳校区信息系统（含智慧化校园平台信息系统，门户网站及站群信息系统和教务管理系统）开展网络安全等级保护（二级）测评。</w:t>
      </w:r>
    </w:p>
    <w:p w14:paraId="54013330">
      <w:pPr>
        <w:spacing w:before="200" w:after="80"/>
      </w:pPr>
      <w:r>
        <w:rPr>
          <w:rFonts w:ascii="黑体" w:hAnsi="黑体" w:eastAsia="黑体" w:cs="Times New Roman"/>
          <w:b/>
          <w:sz w:val="28"/>
        </w:rPr>
        <w:t>二、项目需求清单</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3333"/>
        <w:gridCol w:w="1183"/>
        <w:gridCol w:w="4270"/>
      </w:tblGrid>
      <w:tr w14:paraId="3434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tcPr>
          <w:p w14:paraId="37BF5D7E">
            <w:pPr>
              <w:spacing w:after="0" w:line="276" w:lineRule="auto"/>
            </w:pPr>
            <w:r>
              <w:rPr>
                <w:rFonts w:ascii="宋体" w:hAnsi="宋体" w:eastAsia="仿宋" w:cs="Times New Roman"/>
                <w:b/>
                <w:sz w:val="24"/>
              </w:rPr>
              <w:t>序号</w:t>
            </w:r>
          </w:p>
        </w:tc>
        <w:tc>
          <w:tcPr>
            <w:tcW w:w="3400" w:type="dxa"/>
          </w:tcPr>
          <w:p w14:paraId="6D2AE805">
            <w:pPr>
              <w:spacing w:after="0" w:line="276" w:lineRule="auto"/>
            </w:pPr>
            <w:r>
              <w:rPr>
                <w:rFonts w:ascii="宋体" w:hAnsi="宋体" w:eastAsia="仿宋" w:cs="Times New Roman"/>
                <w:b/>
                <w:sz w:val="24"/>
              </w:rPr>
              <w:t>系统名称</w:t>
            </w:r>
          </w:p>
        </w:tc>
        <w:tc>
          <w:tcPr>
            <w:tcW w:w="1200" w:type="dxa"/>
          </w:tcPr>
          <w:p w14:paraId="21C756AD">
            <w:pPr>
              <w:spacing w:after="0" w:line="276" w:lineRule="auto"/>
            </w:pPr>
            <w:r>
              <w:rPr>
                <w:rFonts w:ascii="宋体" w:hAnsi="宋体" w:eastAsia="仿宋" w:cs="Times New Roman"/>
                <w:b/>
                <w:sz w:val="24"/>
              </w:rPr>
              <w:t>安全保护等级</w:t>
            </w:r>
          </w:p>
        </w:tc>
        <w:tc>
          <w:tcPr>
            <w:tcW w:w="4354" w:type="dxa"/>
          </w:tcPr>
          <w:p w14:paraId="6EFC9671">
            <w:pPr>
              <w:spacing w:after="0" w:line="276" w:lineRule="auto"/>
            </w:pPr>
            <w:r>
              <w:rPr>
                <w:rFonts w:ascii="宋体" w:hAnsi="宋体" w:eastAsia="仿宋" w:cs="Times New Roman"/>
                <w:b/>
                <w:sz w:val="24"/>
              </w:rPr>
              <w:t>备注</w:t>
            </w:r>
          </w:p>
        </w:tc>
      </w:tr>
      <w:tr w14:paraId="6DAFC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tcPr>
          <w:p w14:paraId="73A6990A">
            <w:pPr>
              <w:spacing w:after="0" w:line="276" w:lineRule="auto"/>
            </w:pPr>
            <w:r>
              <w:rPr>
                <w:rFonts w:ascii="宋体" w:hAnsi="宋体" w:eastAsia="仿宋" w:cs="Times New Roman"/>
                <w:b w:val="0"/>
                <w:sz w:val="24"/>
              </w:rPr>
              <w:t>1</w:t>
            </w:r>
          </w:p>
        </w:tc>
        <w:tc>
          <w:tcPr>
            <w:tcW w:w="3400" w:type="dxa"/>
          </w:tcPr>
          <w:p w14:paraId="28BA474E">
            <w:pPr>
              <w:spacing w:after="0" w:line="276" w:lineRule="auto"/>
            </w:pPr>
            <w:r>
              <w:rPr>
                <w:rFonts w:ascii="宋体" w:hAnsi="宋体" w:eastAsia="仿宋" w:cs="Times New Roman"/>
                <w:b w:val="0"/>
                <w:sz w:val="24"/>
              </w:rPr>
              <w:t>智慧化校园平台信息系统</w:t>
            </w:r>
          </w:p>
        </w:tc>
        <w:tc>
          <w:tcPr>
            <w:tcW w:w="1200" w:type="dxa"/>
          </w:tcPr>
          <w:p w14:paraId="5F954FD1">
            <w:pPr>
              <w:spacing w:after="0" w:line="276" w:lineRule="auto"/>
            </w:pPr>
            <w:r>
              <w:rPr>
                <w:rFonts w:ascii="宋体" w:hAnsi="宋体" w:eastAsia="仿宋" w:cs="Times New Roman"/>
                <w:b w:val="0"/>
                <w:sz w:val="24"/>
              </w:rPr>
              <w:t>二级</w:t>
            </w:r>
          </w:p>
        </w:tc>
        <w:tc>
          <w:tcPr>
            <w:tcW w:w="4354" w:type="dxa"/>
          </w:tcPr>
          <w:p w14:paraId="2D8A3FDC">
            <w:pPr>
              <w:spacing w:after="0" w:line="276" w:lineRule="auto"/>
            </w:pPr>
            <w:r>
              <w:rPr>
                <w:rFonts w:ascii="宋体" w:hAnsi="宋体" w:eastAsia="仿宋" w:cs="Times New Roman"/>
                <w:b w:val="0"/>
                <w:sz w:val="24"/>
              </w:rPr>
              <w:t>每个系统出具《等级测评报告》及整改方案各 1 份；均按二级要求实施测评</w:t>
            </w:r>
          </w:p>
        </w:tc>
      </w:tr>
      <w:tr w14:paraId="5CC3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tcPr>
          <w:p w14:paraId="2AF26F62">
            <w:pPr>
              <w:spacing w:after="0" w:line="276" w:lineRule="auto"/>
            </w:pPr>
            <w:r>
              <w:rPr>
                <w:rFonts w:ascii="宋体" w:hAnsi="宋体" w:eastAsia="仿宋" w:cs="Times New Roman"/>
                <w:b w:val="0"/>
                <w:sz w:val="24"/>
              </w:rPr>
              <w:t>2</w:t>
            </w:r>
          </w:p>
        </w:tc>
        <w:tc>
          <w:tcPr>
            <w:tcW w:w="3400" w:type="dxa"/>
          </w:tcPr>
          <w:p w14:paraId="541C8956">
            <w:pPr>
              <w:spacing w:after="0" w:line="276" w:lineRule="auto"/>
            </w:pPr>
            <w:r>
              <w:rPr>
                <w:rFonts w:ascii="宋体" w:hAnsi="宋体" w:eastAsia="仿宋" w:cs="Times New Roman"/>
                <w:b w:val="0"/>
                <w:sz w:val="24"/>
              </w:rPr>
              <w:t>门户网站及站群信息系统</w:t>
            </w:r>
          </w:p>
        </w:tc>
        <w:tc>
          <w:tcPr>
            <w:tcW w:w="1200" w:type="dxa"/>
          </w:tcPr>
          <w:p w14:paraId="29B197B1">
            <w:pPr>
              <w:spacing w:after="0" w:line="276" w:lineRule="auto"/>
            </w:pPr>
            <w:r>
              <w:rPr>
                <w:rFonts w:ascii="宋体" w:hAnsi="宋体" w:eastAsia="仿宋" w:cs="Times New Roman"/>
                <w:b w:val="0"/>
                <w:sz w:val="24"/>
              </w:rPr>
              <w:t>二级</w:t>
            </w:r>
          </w:p>
        </w:tc>
        <w:tc>
          <w:tcPr>
            <w:tcW w:w="4354" w:type="dxa"/>
          </w:tcPr>
          <w:p w14:paraId="305C18ED">
            <w:pPr>
              <w:spacing w:after="0" w:line="276" w:lineRule="auto"/>
            </w:pPr>
            <w:r>
              <w:rPr>
                <w:rFonts w:ascii="宋体" w:hAnsi="宋体" w:eastAsia="仿宋" w:cs="Times New Roman"/>
                <w:b w:val="0"/>
                <w:sz w:val="24"/>
              </w:rPr>
              <w:t>同上</w:t>
            </w:r>
          </w:p>
        </w:tc>
      </w:tr>
      <w:tr w14:paraId="2C66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tcPr>
          <w:p w14:paraId="79AAB514">
            <w:pPr>
              <w:spacing w:after="0" w:line="276" w:lineRule="auto"/>
            </w:pPr>
            <w:r>
              <w:rPr>
                <w:rFonts w:ascii="宋体" w:hAnsi="宋体" w:eastAsia="仿宋" w:cs="Times New Roman"/>
                <w:b w:val="0"/>
                <w:sz w:val="24"/>
              </w:rPr>
              <w:t>3</w:t>
            </w:r>
          </w:p>
        </w:tc>
        <w:tc>
          <w:tcPr>
            <w:tcW w:w="3400" w:type="dxa"/>
          </w:tcPr>
          <w:p w14:paraId="7AA388FB">
            <w:pPr>
              <w:spacing w:after="0" w:line="276" w:lineRule="auto"/>
            </w:pPr>
            <w:r>
              <w:rPr>
                <w:rFonts w:ascii="宋体" w:hAnsi="宋体" w:eastAsia="仿宋" w:cs="Times New Roman"/>
                <w:b w:val="0"/>
                <w:sz w:val="24"/>
              </w:rPr>
              <w:t>教务管理系统</w:t>
            </w:r>
          </w:p>
        </w:tc>
        <w:tc>
          <w:tcPr>
            <w:tcW w:w="1200" w:type="dxa"/>
          </w:tcPr>
          <w:p w14:paraId="51F5B66F">
            <w:pPr>
              <w:spacing w:after="0" w:line="276" w:lineRule="auto"/>
            </w:pPr>
            <w:r>
              <w:rPr>
                <w:rFonts w:ascii="宋体" w:hAnsi="宋体" w:eastAsia="仿宋" w:cs="Times New Roman"/>
                <w:b w:val="0"/>
                <w:sz w:val="24"/>
              </w:rPr>
              <w:t>二级</w:t>
            </w:r>
          </w:p>
        </w:tc>
        <w:tc>
          <w:tcPr>
            <w:tcW w:w="4354" w:type="dxa"/>
          </w:tcPr>
          <w:p w14:paraId="6F011519">
            <w:pPr>
              <w:spacing w:after="0" w:line="276" w:lineRule="auto"/>
            </w:pPr>
            <w:r>
              <w:rPr>
                <w:rFonts w:ascii="宋体" w:hAnsi="宋体" w:eastAsia="仿宋" w:cs="Times New Roman"/>
                <w:b w:val="0"/>
                <w:sz w:val="24"/>
              </w:rPr>
              <w:t>同上</w:t>
            </w:r>
          </w:p>
        </w:tc>
      </w:tr>
    </w:tbl>
    <w:p w14:paraId="6C05C0B2"/>
    <w:p w14:paraId="0732F2C5">
      <w:pPr>
        <w:spacing w:before="200" w:after="80"/>
      </w:pPr>
      <w:r>
        <w:rPr>
          <w:rFonts w:ascii="黑体" w:hAnsi="黑体" w:eastAsia="黑体" w:cs="Times New Roman"/>
          <w:b/>
          <w:sz w:val="28"/>
        </w:rPr>
        <w:t>三、申请人资格要求</w:t>
      </w:r>
    </w:p>
    <w:p w14:paraId="3C49053C">
      <w:pPr>
        <w:spacing w:after="80" w:line="312" w:lineRule="auto"/>
      </w:pPr>
      <w:r>
        <w:rPr>
          <w:rFonts w:ascii="宋体" w:hAnsi="宋体" w:eastAsia="仿宋" w:cs="Times New Roman"/>
          <w:b w:val="0"/>
          <w:sz w:val="24"/>
        </w:rPr>
        <w:t>供应商资质要求：</w:t>
      </w:r>
    </w:p>
    <w:p w14:paraId="42E12792">
      <w:pPr>
        <w:spacing w:after="80" w:line="312" w:lineRule="auto"/>
      </w:pPr>
      <w:r>
        <w:rPr>
          <w:rFonts w:ascii="宋体" w:hAnsi="宋体" w:eastAsia="仿宋" w:cs="Times New Roman"/>
          <w:b w:val="0"/>
          <w:sz w:val="24"/>
        </w:rPr>
        <w:t>1.投标人应为有独立承担民事责任的能力的企业法人、事业法人或者其他组织，并提供营业执照等相关证明文件；</w:t>
      </w:r>
    </w:p>
    <w:p w14:paraId="355F8E7A">
      <w:pPr>
        <w:spacing w:after="80" w:line="312" w:lineRule="auto"/>
      </w:pPr>
      <w:r>
        <w:rPr>
          <w:rFonts w:ascii="宋体" w:hAnsi="宋体" w:eastAsia="仿宋" w:cs="Times New Roman"/>
          <w:b w:val="0"/>
          <w:sz w:val="24"/>
        </w:rPr>
        <w:t>2.2025年度的财务状况报告（成立不满一年无需提供）；</w:t>
      </w:r>
    </w:p>
    <w:p w14:paraId="15C70886">
      <w:pPr>
        <w:spacing w:after="80" w:line="312" w:lineRule="auto"/>
      </w:pPr>
      <w:r>
        <w:rPr>
          <w:rFonts w:ascii="宋体" w:hAnsi="宋体" w:eastAsia="仿宋" w:cs="Times New Roman"/>
          <w:b w:val="0"/>
          <w:sz w:val="24"/>
        </w:rPr>
        <w:t>3.依法缴纳税收和社会保障资金的相关材料（提供提交投标文件截止时间前至少1个月的依法缴纳税收及缴纳社会保障资金的证明材料）。</w:t>
      </w:r>
    </w:p>
    <w:p w14:paraId="1D278562">
      <w:pPr>
        <w:spacing w:after="80" w:line="312" w:lineRule="auto"/>
        <w:rPr>
          <w:highlight w:val="none"/>
        </w:rPr>
      </w:pPr>
      <w:r>
        <w:rPr>
          <w:rFonts w:ascii="宋体" w:hAnsi="宋体" w:eastAsia="仿宋" w:cs="Times New Roman"/>
          <w:b w:val="0"/>
          <w:sz w:val="24"/>
          <w:highlight w:val="none"/>
        </w:rPr>
        <w:t>4.参加采购活动前3年内在经营活动中没有重大违法记录的书面声明</w:t>
      </w:r>
    </w:p>
    <w:p w14:paraId="6D319E4E">
      <w:pPr>
        <w:spacing w:before="200" w:after="80"/>
        <w:rPr>
          <w:highlight w:val="none"/>
        </w:rPr>
      </w:pPr>
      <w:r>
        <w:rPr>
          <w:rFonts w:ascii="黑体" w:hAnsi="黑体" w:eastAsia="黑体" w:cs="Times New Roman"/>
          <w:b/>
          <w:sz w:val="28"/>
          <w:highlight w:val="none"/>
        </w:rPr>
        <w:t>四、采购项目的特定资格条件</w:t>
      </w:r>
    </w:p>
    <w:p w14:paraId="1013F73E">
      <w:pPr>
        <w:spacing w:after="40" w:line="312" w:lineRule="auto"/>
        <w:ind w:left="283"/>
        <w:rPr>
          <w:highlight w:val="none"/>
        </w:rPr>
      </w:pPr>
      <w:r>
        <w:rPr>
          <w:rFonts w:ascii="宋体" w:hAnsi="宋体" w:eastAsia="仿宋" w:cs="Times New Roman"/>
          <w:b w:val="0"/>
          <w:sz w:val="24"/>
          <w:highlight w:val="none"/>
        </w:rPr>
        <w:t>供应商须具备公安部第三研究所颁发的《网络安全等级测评与检测评估机构服务认证证书》</w:t>
      </w:r>
      <w:r>
        <w:rPr>
          <w:rFonts w:hint="eastAsia" w:ascii="宋体" w:hAnsi="宋体" w:eastAsia="仿宋" w:cs="Times New Roman"/>
          <w:b w:val="0"/>
          <w:sz w:val="24"/>
          <w:highlight w:val="none"/>
          <w:lang w:val="en-US" w:eastAsia="zh-CN"/>
        </w:rPr>
        <w:t>,且该证书在投标（响应）文件递交截止时间处于有效期内。</w:t>
      </w:r>
      <w:r>
        <w:rPr>
          <w:rFonts w:ascii="宋体" w:hAnsi="宋体" w:eastAsia="仿宋" w:cs="Times New Roman"/>
          <w:b w:val="0"/>
          <w:sz w:val="24"/>
          <w:highlight w:val="none"/>
        </w:rPr>
        <w:t>（提供证书复印件并加盖公章）</w:t>
      </w:r>
    </w:p>
    <w:p w14:paraId="49352066">
      <w:pPr>
        <w:spacing w:before="200" w:after="80"/>
      </w:pPr>
      <w:r>
        <w:rPr>
          <w:rFonts w:ascii="黑体" w:hAnsi="黑体" w:eastAsia="黑体" w:cs="Times New Roman"/>
          <w:b/>
          <w:sz w:val="28"/>
        </w:rPr>
        <w:t>五、技术部分要求</w:t>
      </w:r>
    </w:p>
    <w:p w14:paraId="4ED92F42">
      <w:pPr>
        <w:spacing w:before="120" w:after="80"/>
      </w:pPr>
      <w:r>
        <w:rPr>
          <w:rFonts w:ascii="黑体" w:hAnsi="黑体" w:eastAsia="黑体" w:cs="Times New Roman"/>
          <w:b/>
          <w:sz w:val="24"/>
        </w:rPr>
        <w:t>1、系统测评内容</w:t>
      </w:r>
    </w:p>
    <w:p w14:paraId="2B4F415C">
      <w:pPr>
        <w:spacing w:after="80" w:line="312" w:lineRule="auto"/>
      </w:pPr>
      <w:r>
        <w:rPr>
          <w:rFonts w:ascii="宋体" w:hAnsi="宋体" w:eastAsia="仿宋" w:cs="Times New Roman"/>
          <w:b w:val="0"/>
          <w:sz w:val="24"/>
        </w:rPr>
        <w:t>（1）测评内容包括安全管理制度、安全管理机构、安全管理人员、安全建设管理、安全运维管理、安全物理环境、安全通信网络、安全区域边界、安全计算环境、安全管理中心。</w:t>
      </w:r>
    </w:p>
    <w:p w14:paraId="39BADAB6">
      <w:pPr>
        <w:spacing w:after="80" w:line="312" w:lineRule="auto"/>
      </w:pPr>
      <w:r>
        <w:rPr>
          <w:rFonts w:ascii="宋体" w:hAnsi="宋体" w:eastAsia="仿宋" w:cs="Times New Roman"/>
          <w:b w:val="0"/>
          <w:sz w:val="24"/>
        </w:rPr>
        <w:t>（2）供应商根据测评工作中发现信息系统的安全问题进行分类，针对问题分类提出加固实施建议，提供详细的《整改方案》。</w:t>
      </w:r>
    </w:p>
    <w:p w14:paraId="26BAFC53">
      <w:pPr>
        <w:spacing w:before="120" w:after="80"/>
      </w:pPr>
      <w:r>
        <w:rPr>
          <w:rFonts w:ascii="黑体" w:hAnsi="黑体" w:eastAsia="黑体" w:cs="Times New Roman"/>
          <w:b/>
          <w:sz w:val="24"/>
        </w:rPr>
        <w:t>2、测评要求</w:t>
      </w:r>
    </w:p>
    <w:p w14:paraId="131CC834">
      <w:pPr>
        <w:spacing w:after="80" w:line="312" w:lineRule="auto"/>
      </w:pPr>
      <w:r>
        <w:rPr>
          <w:rFonts w:ascii="宋体" w:hAnsi="宋体" w:eastAsia="仿宋" w:cs="Times New Roman"/>
          <w:b w:val="0"/>
          <w:sz w:val="24"/>
        </w:rPr>
        <w:t>★（1）标准依据：《中华人民共和国网络安全法》、《信息安全等级保护管理办法》（公通字[2007]43 号）、《信息安全技术 网络安全等级保护基本要求》（GB/T 22239-2019）、《信息安全技术 网络安全等级保护安全设计技术要求》（GB/T 25070-2019）、《信息安全技术 网络安全等级保护测评要求》（GB/T 28448-2019）等。</w:t>
      </w:r>
    </w:p>
    <w:p w14:paraId="32F0CA8F">
      <w:pPr>
        <w:spacing w:after="80" w:line="312" w:lineRule="auto"/>
      </w:pPr>
      <w:r>
        <w:rPr>
          <w:rFonts w:ascii="宋体" w:hAnsi="宋体" w:eastAsia="仿宋" w:cs="Times New Roman"/>
          <w:b w:val="0"/>
          <w:sz w:val="24"/>
        </w:rPr>
        <w:t>★本次信息系统等级测评服务项目的实施流程、技术方法必须严格执行国家相关标准规范。</w:t>
      </w:r>
    </w:p>
    <w:p w14:paraId="3D673B28">
      <w:pPr>
        <w:spacing w:after="80" w:line="312" w:lineRule="auto"/>
      </w:pPr>
      <w:r>
        <w:rPr>
          <w:rFonts w:ascii="宋体" w:hAnsi="宋体" w:eastAsia="仿宋" w:cs="Times New Roman"/>
          <w:b w:val="0"/>
          <w:sz w:val="24"/>
        </w:rPr>
        <w:t>（2）测评技术与方法</w:t>
      </w:r>
    </w:p>
    <w:p w14:paraId="1EBEAAA1">
      <w:pPr>
        <w:spacing w:after="80" w:line="312" w:lineRule="auto"/>
      </w:pPr>
      <w:r>
        <w:rPr>
          <w:rFonts w:ascii="宋体" w:hAnsi="宋体" w:eastAsia="仿宋" w:cs="Times New Roman"/>
          <w:b w:val="0"/>
          <w:sz w:val="24"/>
        </w:rPr>
        <w:t>供应商以访谈、现场勘查、上机查看、工具测试等方式开展测评工作，所有获取测评证据的过程尽可能不影响信息系统的正常运行，对于可能产生的负面影响（如有）供应商需要在响应文件中做具体描述。因目前信息系统均为 B/S 架构，在测评过程中测评机构需重点对 WEB 应用业务进行安全测试，供应商需在响应文件中对 WEB 安全测试方法与测评用例做出详细说明。</w:t>
      </w:r>
    </w:p>
    <w:p w14:paraId="41B2370C">
      <w:pPr>
        <w:spacing w:after="80" w:line="312" w:lineRule="auto"/>
      </w:pPr>
      <w:r>
        <w:rPr>
          <w:rFonts w:ascii="宋体" w:hAnsi="宋体" w:eastAsia="仿宋" w:cs="Times New Roman"/>
          <w:b w:val="0"/>
          <w:sz w:val="24"/>
        </w:rPr>
        <w:t>（3）测评实施要求</w:t>
      </w:r>
    </w:p>
    <w:p w14:paraId="2297450F">
      <w:pPr>
        <w:spacing w:after="80" w:line="312" w:lineRule="auto"/>
      </w:pPr>
      <w:r>
        <w:rPr>
          <w:rFonts w:ascii="宋体" w:hAnsi="宋体" w:eastAsia="仿宋" w:cs="Times New Roman"/>
          <w:b w:val="0"/>
          <w:sz w:val="24"/>
        </w:rPr>
        <w:t>1、为了保证本次测评项目的实施质量和工期，本项目采用项目经理负责制，供应商安排具备一定信息安全技术能力、项目管理能力与等级测评工作经验的人员担任项目经理；项目组由项目经理和项目组其他成员组成，总人数不少于 5 人，其中项目经理 1 名、项目组其他成员不少于 4 名（其他成员均应持有等级测评师证书）。</w:t>
      </w:r>
    </w:p>
    <w:p w14:paraId="18A54563">
      <w:pPr>
        <w:spacing w:after="80" w:line="312" w:lineRule="auto"/>
      </w:pPr>
      <w:r>
        <w:rPr>
          <w:rFonts w:ascii="宋体" w:hAnsi="宋体" w:eastAsia="仿宋" w:cs="Times New Roman"/>
          <w:b w:val="0"/>
          <w:sz w:val="24"/>
        </w:rPr>
        <w:t>2、项目进场实施前，供应商必须与采购人签订项目保密协议。现场实施过程中测评人员必须接受采购人管理。</w:t>
      </w:r>
    </w:p>
    <w:p w14:paraId="2C009F26">
      <w:pPr>
        <w:spacing w:after="80" w:line="312" w:lineRule="auto"/>
      </w:pPr>
      <w:r>
        <w:rPr>
          <w:rFonts w:ascii="宋体" w:hAnsi="宋体" w:eastAsia="仿宋" w:cs="Times New Roman"/>
          <w:b w:val="0"/>
          <w:sz w:val="24"/>
        </w:rPr>
        <w:t>3、供应商在签订合同后 10 日内制定合理的时间计划安排。</w:t>
      </w:r>
    </w:p>
    <w:p w14:paraId="1FAC6FA3">
      <w:pPr>
        <w:spacing w:after="80" w:line="312" w:lineRule="auto"/>
      </w:pPr>
      <w:r>
        <w:rPr>
          <w:rFonts w:ascii="宋体" w:hAnsi="宋体" w:eastAsia="仿宋" w:cs="Times New Roman"/>
          <w:b w:val="0"/>
          <w:sz w:val="24"/>
        </w:rPr>
        <w:t>4、本次项目实施过程主要分为准备阶段、方案编制阶段、现场测评阶段、分析与报告编制四个主要项目阶段，供应商在方案中明确各阶段双方的主要工作，各阶段双方须相互配合协调的内容。</w:t>
      </w:r>
    </w:p>
    <w:p w14:paraId="18F43CA9">
      <w:pPr>
        <w:spacing w:after="80" w:line="312" w:lineRule="auto"/>
      </w:pPr>
      <w:r>
        <w:rPr>
          <w:rFonts w:ascii="宋体" w:hAnsi="宋体" w:eastAsia="仿宋" w:cs="Times New Roman"/>
          <w:b w:val="0"/>
          <w:sz w:val="24"/>
        </w:rPr>
        <w:t>5、为保证实施期间的系统安全运行，供应商应在合同期限内提供相应的应急响应服务，供应商的响应文件中须对期间可能出现的系统典型安全事件的处理流程与应急处理方法做出详细说明。</w:t>
      </w:r>
    </w:p>
    <w:p w14:paraId="59DD28D0">
      <w:pPr>
        <w:spacing w:after="80" w:line="312" w:lineRule="auto"/>
      </w:pPr>
      <w:r>
        <w:rPr>
          <w:rFonts w:ascii="宋体" w:hAnsi="宋体" w:eastAsia="仿宋" w:cs="Times New Roman"/>
          <w:b w:val="0"/>
          <w:sz w:val="24"/>
        </w:rPr>
        <w:t>6、在项目实施过程中项目经理应全程负责项目实施过程的把控。</w:t>
      </w:r>
    </w:p>
    <w:p w14:paraId="43519AA7">
      <w:pPr>
        <w:spacing w:after="80" w:line="312" w:lineRule="auto"/>
      </w:pPr>
      <w:r>
        <w:rPr>
          <w:rFonts w:ascii="宋体" w:hAnsi="宋体" w:eastAsia="仿宋" w:cs="Times New Roman"/>
          <w:b w:val="0"/>
          <w:sz w:val="24"/>
        </w:rPr>
        <w:t>7、项目交付物：出具《等级测评报告》及整改方案（每个系统一份）。</w:t>
      </w:r>
    </w:p>
    <w:p w14:paraId="5C8ACB63">
      <w:pPr>
        <w:spacing w:after="80" w:line="312" w:lineRule="auto"/>
      </w:pPr>
      <w:r>
        <w:rPr>
          <w:rFonts w:ascii="宋体" w:hAnsi="宋体" w:eastAsia="仿宋" w:cs="Times New Roman"/>
          <w:b w:val="0"/>
          <w:sz w:val="24"/>
        </w:rPr>
        <w:t>8、供应商需提供加盖公章的保密承诺函。</w:t>
      </w:r>
    </w:p>
    <w:p w14:paraId="5AD796B4">
      <w:pPr>
        <w:spacing w:before="200" w:after="80"/>
      </w:pPr>
      <w:r>
        <w:rPr>
          <w:rFonts w:ascii="黑体" w:hAnsi="黑体" w:eastAsia="黑体" w:cs="Times New Roman"/>
          <w:b/>
          <w:sz w:val="28"/>
        </w:rPr>
        <w:t>六、商务部分要求</w:t>
      </w:r>
    </w:p>
    <w:p w14:paraId="24102AAD">
      <w:pPr>
        <w:spacing w:after="80" w:line="312" w:lineRule="auto"/>
      </w:pPr>
      <w:r>
        <w:rPr>
          <w:rFonts w:ascii="宋体" w:hAnsi="宋体" w:eastAsia="仿宋" w:cs="Times New Roman"/>
          <w:b w:val="0"/>
          <w:sz w:val="24"/>
        </w:rPr>
        <w:t>1、服务期：</w:t>
      </w:r>
      <w:r>
        <w:rPr>
          <w:rFonts w:hint="eastAsia" w:ascii="宋体" w:hAnsi="宋体" w:eastAsia="仿宋" w:cs="Times New Roman"/>
          <w:b w:val="0"/>
          <w:sz w:val="24"/>
          <w:lang w:val="en-US" w:eastAsia="zh-CN"/>
        </w:rPr>
        <w:t>2</w:t>
      </w:r>
      <w:r>
        <w:rPr>
          <w:rFonts w:ascii="宋体" w:hAnsi="宋体" w:eastAsia="仿宋" w:cs="Times New Roman"/>
          <w:b w:val="0"/>
          <w:sz w:val="24"/>
        </w:rPr>
        <w:t xml:space="preserve"> 年，自合同签订之日起算。其中：测评实施与《等级测评报告》、整改方案的提交应于合同签订后 60 个工作日内完成；其余期间为整改咨询与技术支持服务期。</w:t>
      </w:r>
    </w:p>
    <w:p w14:paraId="3334820A">
      <w:pPr>
        <w:spacing w:after="80" w:line="312" w:lineRule="auto"/>
      </w:pPr>
      <w:r>
        <w:rPr>
          <w:rFonts w:ascii="宋体" w:hAnsi="宋体" w:eastAsia="仿宋" w:cs="Times New Roman"/>
          <w:b w:val="0"/>
          <w:sz w:val="24"/>
        </w:rPr>
        <w:t>2、服务要求（测评服务适用）：</w:t>
      </w:r>
    </w:p>
    <w:p w14:paraId="0E9008F0">
      <w:pPr>
        <w:spacing w:after="80" w:line="312" w:lineRule="auto"/>
      </w:pPr>
      <w:r>
        <w:rPr>
          <w:rFonts w:ascii="宋体" w:hAnsi="宋体" w:eastAsia="仿宋" w:cs="Times New Roman"/>
          <w:b w:val="0"/>
          <w:sz w:val="24"/>
        </w:rPr>
        <w:t>1）服务期内，供应商应为本项目提供技术支持与咨询服务，接到采购人故障或安全事件报修后即时响应，2 小时内到达现场，一般问题 4 小时内、重大问题 24 小时内提出并实施有效的解决方案。</w:t>
      </w:r>
    </w:p>
    <w:p w14:paraId="230652AC">
      <w:pPr>
        <w:spacing w:after="80" w:line="312" w:lineRule="auto"/>
      </w:pPr>
      <w:r>
        <w:rPr>
          <w:rFonts w:ascii="宋体" w:hAnsi="宋体" w:eastAsia="仿宋" w:cs="Times New Roman"/>
          <w:b w:val="0"/>
          <w:sz w:val="24"/>
        </w:rPr>
        <w:t>2）服务期内，对采购人提出的合理服务要求，供应商必须即时进行电话、邮件及远程网络支持，并在 2 小时内到场服务。如不到场，采购人有权自行处理，相关费用由供应商负责。</w:t>
      </w:r>
    </w:p>
    <w:p w14:paraId="34D8F201">
      <w:pPr>
        <w:spacing w:after="80" w:line="312" w:lineRule="auto"/>
      </w:pPr>
      <w:r>
        <w:rPr>
          <w:rFonts w:ascii="宋体" w:hAnsi="宋体" w:eastAsia="仿宋" w:cs="Times New Roman"/>
          <w:b w:val="0"/>
          <w:sz w:val="24"/>
        </w:rPr>
        <w:t>3）供应商需提供定期回访服务，对采购人提出的合理优化建议应提供免费技术支持。</w:t>
      </w:r>
    </w:p>
    <w:p w14:paraId="27AFA66B">
      <w:pPr>
        <w:spacing w:after="80" w:line="312" w:lineRule="auto"/>
      </w:pPr>
      <w:r>
        <w:rPr>
          <w:rFonts w:ascii="宋体" w:hAnsi="宋体" w:eastAsia="仿宋" w:cs="Times New Roman"/>
          <w:b w:val="0"/>
          <w:sz w:val="24"/>
        </w:rPr>
        <w:t>4）服务期内因供应商原因导致采购人信息系统发生故障或数据损坏的，由供应商负责恢复并承担相应责任。</w:t>
      </w:r>
    </w:p>
    <w:p w14:paraId="0ABB5F3E">
      <w:pPr>
        <w:spacing w:after="80" w:line="312" w:lineRule="auto"/>
      </w:pPr>
      <w:r>
        <w:rPr>
          <w:rFonts w:ascii="宋体" w:hAnsi="宋体" w:eastAsia="仿宋" w:cs="Times New Roman"/>
          <w:b w:val="0"/>
          <w:sz w:val="24"/>
        </w:rPr>
        <w:t>3、交付时间：自合同正式签署生效起 60 个工作日内完成测评实施，提交每个系统的《等级测评报告》及整改方案。</w:t>
      </w:r>
    </w:p>
    <w:p w14:paraId="13F1B5C7">
      <w:pPr>
        <w:spacing w:after="80" w:line="312" w:lineRule="auto"/>
      </w:pPr>
      <w:r>
        <w:rPr>
          <w:rFonts w:ascii="宋体" w:hAnsi="宋体" w:eastAsia="仿宋" w:cs="Times New Roman"/>
          <w:b w:val="0"/>
          <w:sz w:val="24"/>
        </w:rPr>
        <w:t>4、付款条件：</w:t>
      </w:r>
    </w:p>
    <w:p w14:paraId="277B386C">
      <w:pPr>
        <w:spacing w:after="80" w:line="312" w:lineRule="auto"/>
      </w:pPr>
      <w:r>
        <w:rPr>
          <w:rFonts w:ascii="宋体" w:hAnsi="宋体" w:eastAsia="仿宋" w:cs="Times New Roman"/>
          <w:b w:val="0"/>
          <w:sz w:val="24"/>
        </w:rPr>
        <w:t>付款方式：</w:t>
      </w:r>
      <w:r>
        <w:rPr>
          <w:rFonts w:hint="eastAsia" w:ascii="宋体" w:hAnsi="宋体" w:eastAsia="仿宋" w:cs="Times New Roman"/>
          <w:b w:val="0"/>
          <w:sz w:val="24"/>
        </w:rPr>
        <w:t>自合同签订之日起十个工作日内，支付50%总合同款；等级保护测评工作完成并出具《等级保护测评报告》及整改方案后，一个月内支付剩余合同款，由乙方提供正规发票。</w:t>
      </w:r>
    </w:p>
    <w:p w14:paraId="10961C2F">
      <w:pPr>
        <w:spacing w:after="80" w:line="312" w:lineRule="auto"/>
      </w:pPr>
      <w:r>
        <w:rPr>
          <w:rFonts w:ascii="宋体" w:hAnsi="宋体" w:eastAsia="仿宋" w:cs="Times New Roman"/>
          <w:b w:val="0"/>
          <w:sz w:val="24"/>
        </w:rPr>
        <w:t>备注：</w:t>
      </w:r>
    </w:p>
    <w:p w14:paraId="0882E8C6">
      <w:pPr>
        <w:spacing w:after="80" w:line="312" w:lineRule="auto"/>
      </w:pPr>
      <w:r>
        <w:rPr>
          <w:rFonts w:ascii="宋体" w:hAnsi="宋体" w:eastAsia="仿宋" w:cs="Times New Roman"/>
          <w:b w:val="0"/>
          <w:sz w:val="24"/>
        </w:rPr>
        <w:t>1、本文件中带星号（「★」）的条款均为实质性要求，不允许负偏离，否则作无效响应处理。</w:t>
      </w:r>
    </w:p>
    <w:p w14:paraId="174B9815">
      <w:pPr>
        <w:spacing w:after="80" w:line="312" w:lineRule="auto"/>
        <w:rPr>
          <w:rFonts w:ascii="宋体" w:hAnsi="宋体" w:eastAsia="仿宋" w:cs="Times New Roman"/>
          <w:b w:val="0"/>
          <w:sz w:val="24"/>
        </w:rPr>
      </w:pPr>
      <w:r>
        <w:rPr>
          <w:rFonts w:ascii="宋体" w:hAnsi="宋体" w:eastAsia="仿宋" w:cs="Times New Roman"/>
          <w:b w:val="0"/>
          <w:sz w:val="24"/>
        </w:rPr>
        <w:t>2、本文件所称「供应商」与「投标人」、「响应文件」与「投标文件」同义。</w:t>
      </w:r>
    </w:p>
    <w:p w14:paraId="37CC734F">
      <w:pPr>
        <w:spacing w:after="80" w:line="312" w:lineRule="auto"/>
        <w:rPr>
          <w:rFonts w:hint="default" w:ascii="仿宋" w:hAnsi="仿宋" w:eastAsia="仿宋" w:cs="仿宋"/>
          <w:b w:val="0"/>
          <w:sz w:val="24"/>
          <w:lang w:val="en-US" w:eastAsia="zh-CN"/>
        </w:rPr>
      </w:pPr>
      <w:r>
        <w:rPr>
          <w:rFonts w:hint="eastAsia" w:ascii="宋体" w:hAnsi="宋体" w:eastAsia="仿宋" w:cs="Times New Roman"/>
          <w:b w:val="0"/>
          <w:sz w:val="24"/>
          <w:lang w:val="en-US" w:eastAsia="zh-CN"/>
        </w:rPr>
        <w:t>3</w:t>
      </w:r>
      <w:r>
        <w:rPr>
          <w:rFonts w:ascii="宋体" w:hAnsi="宋体" w:eastAsia="仿宋" w:cs="Times New Roman"/>
          <w:b w:val="0"/>
          <w:sz w:val="24"/>
        </w:rPr>
        <w:t>、</w:t>
      </w:r>
      <w:r>
        <w:rPr>
          <w:rFonts w:hint="eastAsia" w:ascii="宋体" w:hAnsi="宋体" w:eastAsia="仿宋" w:cs="Times New Roman"/>
          <w:b w:val="0"/>
          <w:sz w:val="24"/>
          <w:lang w:val="en-US" w:eastAsia="zh-CN"/>
        </w:rPr>
        <w:t>本文</w:t>
      </w:r>
      <w:r>
        <w:rPr>
          <w:rFonts w:hint="eastAsia" w:ascii="仿宋" w:hAnsi="仿宋" w:eastAsia="仿宋" w:cs="仿宋"/>
          <w:b w:val="0"/>
          <w:sz w:val="24"/>
          <w:lang w:val="en-US" w:eastAsia="zh-CN"/>
        </w:rPr>
        <w:t>件中</w:t>
      </w:r>
      <w:r>
        <w:rPr>
          <w:rFonts w:hint="eastAsia" w:ascii="仿宋" w:hAnsi="仿宋" w:eastAsia="仿宋" w:cs="仿宋"/>
          <w:b/>
          <w:color w:val="FF0000"/>
          <w:sz w:val="24"/>
        </w:rPr>
        <w:t>加“★”参数</w:t>
      </w:r>
      <w:r>
        <w:rPr>
          <w:rFonts w:hint="eastAsia" w:ascii="仿宋" w:hAnsi="仿宋" w:eastAsia="仿宋" w:cs="仿宋"/>
          <w:b/>
          <w:color w:val="FF0000"/>
          <w:sz w:val="24"/>
          <w:lang w:val="en-US" w:eastAsia="zh-CN"/>
        </w:rPr>
        <w:t>供应商不可偏离，提供承诺函加盖公章，如若偏离投标文件无效。</w:t>
      </w:r>
    </w:p>
    <w:p w14:paraId="6F9B7BFA">
      <w:pPr>
        <w:spacing w:before="200" w:after="80"/>
      </w:pPr>
      <w:r>
        <w:rPr>
          <w:rFonts w:ascii="黑体" w:hAnsi="黑体" w:eastAsia="黑体" w:cs="Times New Roman"/>
          <w:b/>
          <w:sz w:val="28"/>
        </w:rPr>
        <w:t>七、评分标准</w:t>
      </w:r>
    </w:p>
    <w:p w14:paraId="3BDB90E1">
      <w:pPr>
        <w:spacing w:after="80" w:line="312" w:lineRule="auto"/>
      </w:pPr>
      <w:r>
        <w:rPr>
          <w:rFonts w:ascii="宋体" w:hAnsi="宋体" w:eastAsia="仿宋" w:cs="Times New Roman"/>
          <w:b w:val="0"/>
          <w:sz w:val="24"/>
        </w:rPr>
        <w:t>评分标准表（满分 100 分）如下：</w:t>
      </w:r>
    </w:p>
    <w:tbl>
      <w:tblPr>
        <w:tblStyle w:val="7"/>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1144"/>
        <w:gridCol w:w="1161"/>
        <w:gridCol w:w="6758"/>
      </w:tblGrid>
      <w:tr w14:paraId="5CE3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tcPr>
          <w:p w14:paraId="09002909">
            <w:pPr>
              <w:spacing w:after="0" w:line="276" w:lineRule="auto"/>
              <w:rPr>
                <w:color w:val="000000" w:themeColor="text1"/>
                <w14:textFill>
                  <w14:solidFill>
                    <w14:schemeClr w14:val="tx1"/>
                  </w14:solidFill>
                </w14:textFill>
              </w:rPr>
            </w:pPr>
            <w:r>
              <w:rPr>
                <w:rFonts w:ascii="宋体" w:hAnsi="宋体" w:eastAsia="仿宋" w:cs="Times New Roman"/>
                <w:b/>
                <w:color w:val="000000" w:themeColor="text1"/>
                <w:sz w:val="24"/>
                <w14:textFill>
                  <w14:solidFill>
                    <w14:schemeClr w14:val="tx1"/>
                  </w14:solidFill>
                </w14:textFill>
              </w:rPr>
              <w:t>序号</w:t>
            </w:r>
          </w:p>
        </w:tc>
        <w:tc>
          <w:tcPr>
            <w:tcW w:w="1144" w:type="dxa"/>
          </w:tcPr>
          <w:p w14:paraId="5D364CB6">
            <w:pPr>
              <w:spacing w:after="0" w:line="276" w:lineRule="auto"/>
              <w:rPr>
                <w:color w:val="000000" w:themeColor="text1"/>
                <w14:textFill>
                  <w14:solidFill>
                    <w14:schemeClr w14:val="tx1"/>
                  </w14:solidFill>
                </w14:textFill>
              </w:rPr>
            </w:pPr>
            <w:r>
              <w:rPr>
                <w:rFonts w:ascii="宋体" w:hAnsi="宋体" w:eastAsia="仿宋" w:cs="Times New Roman"/>
                <w:b/>
                <w:color w:val="000000" w:themeColor="text1"/>
                <w:sz w:val="24"/>
                <w14:textFill>
                  <w14:solidFill>
                    <w14:schemeClr w14:val="tx1"/>
                  </w14:solidFill>
                </w14:textFill>
              </w:rPr>
              <w:t>评审内容</w:t>
            </w:r>
          </w:p>
        </w:tc>
        <w:tc>
          <w:tcPr>
            <w:tcW w:w="1161" w:type="dxa"/>
          </w:tcPr>
          <w:p w14:paraId="5551A655">
            <w:pPr>
              <w:spacing w:after="0" w:line="276" w:lineRule="auto"/>
              <w:rPr>
                <w:color w:val="000000" w:themeColor="text1"/>
                <w14:textFill>
                  <w14:solidFill>
                    <w14:schemeClr w14:val="tx1"/>
                  </w14:solidFill>
                </w14:textFill>
              </w:rPr>
            </w:pPr>
            <w:r>
              <w:rPr>
                <w:rFonts w:ascii="宋体" w:hAnsi="宋体" w:eastAsia="仿宋" w:cs="Times New Roman"/>
                <w:b/>
                <w:color w:val="000000" w:themeColor="text1"/>
                <w:sz w:val="24"/>
                <w14:textFill>
                  <w14:solidFill>
                    <w14:schemeClr w14:val="tx1"/>
                  </w14:solidFill>
                </w14:textFill>
              </w:rPr>
              <w:t>分值（分）</w:t>
            </w:r>
          </w:p>
        </w:tc>
        <w:tc>
          <w:tcPr>
            <w:tcW w:w="6760" w:type="dxa"/>
          </w:tcPr>
          <w:p w14:paraId="3314A270">
            <w:pPr>
              <w:spacing w:after="0" w:line="276" w:lineRule="auto"/>
              <w:rPr>
                <w:color w:val="000000" w:themeColor="text1"/>
                <w14:textFill>
                  <w14:solidFill>
                    <w14:schemeClr w14:val="tx1"/>
                  </w14:solidFill>
                </w14:textFill>
              </w:rPr>
            </w:pPr>
            <w:r>
              <w:rPr>
                <w:rFonts w:ascii="宋体" w:hAnsi="宋体" w:eastAsia="仿宋" w:cs="Times New Roman"/>
                <w:b/>
                <w:color w:val="000000" w:themeColor="text1"/>
                <w:sz w:val="24"/>
                <w14:textFill>
                  <w14:solidFill>
                    <w14:schemeClr w14:val="tx1"/>
                  </w14:solidFill>
                </w14:textFill>
              </w:rPr>
              <w:t>评分标准</w:t>
            </w:r>
          </w:p>
        </w:tc>
      </w:tr>
      <w:tr w14:paraId="6205A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tcPr>
          <w:p w14:paraId="69B00E83">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1</w:t>
            </w:r>
          </w:p>
        </w:tc>
        <w:tc>
          <w:tcPr>
            <w:tcW w:w="1144" w:type="dxa"/>
          </w:tcPr>
          <w:p w14:paraId="652985A8">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报价</w:t>
            </w:r>
          </w:p>
        </w:tc>
        <w:tc>
          <w:tcPr>
            <w:tcW w:w="1161" w:type="dxa"/>
          </w:tcPr>
          <w:p w14:paraId="4AAF6D93">
            <w:pPr>
              <w:spacing w:after="0" w:line="276" w:lineRule="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30</w:t>
            </w:r>
          </w:p>
        </w:tc>
        <w:tc>
          <w:tcPr>
            <w:tcW w:w="6760" w:type="dxa"/>
          </w:tcPr>
          <w:p w14:paraId="220ED829">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 xml:space="preserve">价格得分采用低价优先法计算，即通过评审且响应报价最低的报价为评审基准价，其价格评估得分为 </w:t>
            </w:r>
            <w:r>
              <w:rPr>
                <w:rFonts w:hint="eastAsia" w:ascii="宋体" w:hAnsi="宋体" w:eastAsia="仿宋" w:cs="Times New Roman"/>
                <w:b w:val="0"/>
                <w:color w:val="000000" w:themeColor="text1"/>
                <w:sz w:val="24"/>
                <w:lang w:val="en-US" w:eastAsia="zh-CN"/>
                <w14:textFill>
                  <w14:solidFill>
                    <w14:schemeClr w14:val="tx1"/>
                  </w14:solidFill>
                </w14:textFill>
              </w:rPr>
              <w:t>30</w:t>
            </w:r>
            <w:r>
              <w:rPr>
                <w:rFonts w:ascii="宋体" w:hAnsi="宋体" w:eastAsia="仿宋" w:cs="Times New Roman"/>
                <w:b w:val="0"/>
                <w:color w:val="000000" w:themeColor="text1"/>
                <w:sz w:val="24"/>
                <w14:textFill>
                  <w14:solidFill>
                    <w14:schemeClr w14:val="tx1"/>
                  </w14:solidFill>
                </w14:textFill>
              </w:rPr>
              <w:t>分；其他供应商的价格分按照下列公式计算（小数点保留两位）： 响应报价得分＝（评审基准价/响应报价）×</w:t>
            </w:r>
            <w:r>
              <w:rPr>
                <w:rFonts w:hint="eastAsia" w:ascii="宋体" w:hAnsi="宋体" w:eastAsia="仿宋" w:cs="Times New Roman"/>
                <w:b w:val="0"/>
                <w:color w:val="000000" w:themeColor="text1"/>
                <w:sz w:val="24"/>
                <w:lang w:val="en-US" w:eastAsia="zh-CN"/>
                <w14:textFill>
                  <w14:solidFill>
                    <w14:schemeClr w14:val="tx1"/>
                  </w14:solidFill>
                </w14:textFill>
              </w:rPr>
              <w:t>30</w:t>
            </w:r>
            <w:r>
              <w:rPr>
                <w:rFonts w:ascii="宋体" w:hAnsi="宋体" w:eastAsia="仿宋" w:cs="Times New Roman"/>
                <w:b w:val="0"/>
                <w:color w:val="000000" w:themeColor="text1"/>
                <w:sz w:val="24"/>
                <w14:textFill>
                  <w14:solidFill>
                    <w14:schemeClr w14:val="tx1"/>
                  </w14:solidFill>
                </w14:textFill>
              </w:rPr>
              <w:t xml:space="preserve">分。 </w:t>
            </w:r>
          </w:p>
        </w:tc>
      </w:tr>
      <w:tr w14:paraId="283A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tcPr>
          <w:p w14:paraId="0BE77497">
            <w:pPr>
              <w:spacing w:after="0" w:line="276" w:lineRule="auto"/>
              <w:rPr>
                <w:rFonts w:hint="eastAsia" w:eastAsia="宋体"/>
                <w:color w:val="000000" w:themeColor="text1"/>
                <w:lang w:eastAsia="zh-CN"/>
                <w14:textFill>
                  <w14:solidFill>
                    <w14:schemeClr w14:val="tx1"/>
                  </w14:solidFill>
                </w14:textFill>
              </w:rPr>
            </w:pPr>
            <w:r>
              <w:rPr>
                <w:rFonts w:hint="eastAsia" w:ascii="宋体" w:hAnsi="宋体" w:eastAsia="仿宋" w:cs="Times New Roman"/>
                <w:b w:val="0"/>
                <w:color w:val="000000" w:themeColor="text1"/>
                <w:sz w:val="24"/>
                <w:lang w:val="en-US" w:eastAsia="zh-CN"/>
                <w14:textFill>
                  <w14:solidFill>
                    <w14:schemeClr w14:val="tx1"/>
                  </w14:solidFill>
                </w14:textFill>
              </w:rPr>
              <w:t>2</w:t>
            </w:r>
          </w:p>
        </w:tc>
        <w:tc>
          <w:tcPr>
            <w:tcW w:w="1144" w:type="dxa"/>
          </w:tcPr>
          <w:p w14:paraId="7682E6B3">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信誉及能力</w:t>
            </w:r>
          </w:p>
        </w:tc>
        <w:tc>
          <w:tcPr>
            <w:tcW w:w="1161" w:type="dxa"/>
          </w:tcPr>
          <w:p w14:paraId="68ED1137">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15</w:t>
            </w:r>
          </w:p>
        </w:tc>
        <w:tc>
          <w:tcPr>
            <w:tcW w:w="6760" w:type="dxa"/>
          </w:tcPr>
          <w:p w14:paraId="290F768B">
            <w:pPr>
              <w:spacing w:after="0" w:line="276" w:lineRule="auto"/>
              <w:rPr>
                <w:rFonts w:ascii="宋体" w:hAnsi="宋体" w:eastAsia="仿宋" w:cs="Times New Roman"/>
                <w:b w:val="0"/>
                <w:color w:val="000000" w:themeColor="text1"/>
                <w:sz w:val="24"/>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 xml:space="preserve">1、供应商具有信息安全管理体系认证证书（ISO/IEC 27001系列）且认证范围应包含网络安全等级测评与检测评估服务相关的得1分，未提供不得分。 </w:t>
            </w:r>
          </w:p>
          <w:p w14:paraId="2194E958">
            <w:pPr>
              <w:spacing w:after="0" w:line="276" w:lineRule="auto"/>
              <w:rPr>
                <w:rFonts w:ascii="宋体" w:hAnsi="宋体" w:eastAsia="仿宋" w:cs="Times New Roman"/>
                <w:b w:val="0"/>
                <w:color w:val="000000" w:themeColor="text1"/>
                <w:sz w:val="24"/>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2、供应商具有ISO9001《质量管理体系认证证书》且认证范围含有信息安全等级保护测评的得1分，未提供不得分。</w:t>
            </w:r>
          </w:p>
          <w:p w14:paraId="734DEBE6">
            <w:pPr>
              <w:spacing w:after="0" w:line="276" w:lineRule="auto"/>
              <w:rPr>
                <w:rFonts w:ascii="宋体" w:hAnsi="宋体" w:eastAsia="仿宋" w:cs="Times New Roman"/>
                <w:b w:val="0"/>
                <w:color w:val="000000" w:themeColor="text1"/>
                <w:sz w:val="24"/>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3、供应商具有中国网络安全审查技术与认证中心颁发的《信息安全风险评估资质证书》的得1分，未提供不得分。</w:t>
            </w:r>
          </w:p>
          <w:p w14:paraId="4562F874">
            <w:pPr>
              <w:spacing w:after="0" w:line="276" w:lineRule="auto"/>
              <w:rPr>
                <w:rFonts w:ascii="宋体" w:hAnsi="宋体" w:eastAsia="仿宋" w:cs="Times New Roman"/>
                <w:b w:val="0"/>
                <w:color w:val="000000" w:themeColor="text1"/>
                <w:sz w:val="24"/>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 xml:space="preserve">4、供应商具有《信息技术服务管理体系认证证书》的且认证范围含有等级保护测评得2分，未提供不得分。 </w:t>
            </w:r>
          </w:p>
          <w:p w14:paraId="77C9AC61">
            <w:pPr>
              <w:spacing w:after="0" w:line="276" w:lineRule="auto"/>
              <w:rPr>
                <w:rFonts w:ascii="宋体" w:hAnsi="宋体" w:eastAsia="仿宋" w:cs="Times New Roman"/>
                <w:b w:val="0"/>
                <w:color w:val="000000" w:themeColor="text1"/>
                <w:sz w:val="24"/>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5、供应商具有中国通信企业协会的通信网络安全服务能力评定证书（风险评估一级）得</w:t>
            </w:r>
            <w:r>
              <w:rPr>
                <w:rFonts w:hint="eastAsia" w:ascii="宋体" w:hAnsi="宋体" w:eastAsia="仿宋" w:cs="Times New Roman"/>
                <w:b w:val="0"/>
                <w:color w:val="000000" w:themeColor="text1"/>
                <w:sz w:val="24"/>
                <w:lang w:val="en-US" w:eastAsia="zh-CN"/>
                <w14:textFill>
                  <w14:solidFill>
                    <w14:schemeClr w14:val="tx1"/>
                  </w14:solidFill>
                </w14:textFill>
              </w:rPr>
              <w:t>3</w:t>
            </w:r>
            <w:r>
              <w:rPr>
                <w:rFonts w:ascii="宋体" w:hAnsi="宋体" w:eastAsia="仿宋" w:cs="Times New Roman"/>
                <w:b w:val="0"/>
                <w:color w:val="000000" w:themeColor="text1"/>
                <w:sz w:val="24"/>
                <w14:textFill>
                  <w14:solidFill>
                    <w14:schemeClr w14:val="tx1"/>
                  </w14:solidFill>
                </w14:textFill>
              </w:rPr>
              <w:t xml:space="preserve">分，未提供不得分。 </w:t>
            </w:r>
          </w:p>
          <w:p w14:paraId="4D894731">
            <w:pPr>
              <w:spacing w:after="0" w:line="276" w:lineRule="auto"/>
              <w:rPr>
                <w:rFonts w:ascii="宋体" w:hAnsi="宋体" w:eastAsia="仿宋" w:cs="Times New Roman"/>
                <w:b w:val="0"/>
                <w:color w:val="000000" w:themeColor="text1"/>
                <w:sz w:val="24"/>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6、供应商具有ITSS信息技术服务标准化符合性证书得</w:t>
            </w:r>
            <w:r>
              <w:rPr>
                <w:rFonts w:hint="eastAsia" w:ascii="宋体" w:hAnsi="宋体" w:eastAsia="仿宋" w:cs="Times New Roman"/>
                <w:b w:val="0"/>
                <w:color w:val="000000" w:themeColor="text1"/>
                <w:sz w:val="24"/>
                <w:lang w:val="en-US" w:eastAsia="zh-CN"/>
                <w14:textFill>
                  <w14:solidFill>
                    <w14:schemeClr w14:val="tx1"/>
                  </w14:solidFill>
                </w14:textFill>
              </w:rPr>
              <w:t>1</w:t>
            </w:r>
            <w:r>
              <w:rPr>
                <w:rFonts w:ascii="宋体" w:hAnsi="宋体" w:eastAsia="仿宋" w:cs="Times New Roman"/>
                <w:b w:val="0"/>
                <w:color w:val="000000" w:themeColor="text1"/>
                <w:sz w:val="24"/>
                <w14:textFill>
                  <w14:solidFill>
                    <w14:schemeClr w14:val="tx1"/>
                  </w14:solidFill>
                </w14:textFill>
              </w:rPr>
              <w:t>分</w:t>
            </w:r>
            <w:r>
              <w:rPr>
                <w:rFonts w:hint="eastAsia" w:ascii="宋体" w:hAnsi="宋体" w:eastAsia="仿宋" w:cs="Times New Roman"/>
                <w:b w:val="0"/>
                <w:color w:val="000000" w:themeColor="text1"/>
                <w:sz w:val="24"/>
                <w:lang w:eastAsia="zh-CN"/>
                <w14:textFill>
                  <w14:solidFill>
                    <w14:schemeClr w14:val="tx1"/>
                  </w14:solidFill>
                </w14:textFill>
              </w:rPr>
              <w:t>，</w:t>
            </w:r>
            <w:r>
              <w:rPr>
                <w:rFonts w:ascii="宋体" w:hAnsi="宋体" w:eastAsia="仿宋" w:cs="Times New Roman"/>
                <w:b w:val="0"/>
                <w:color w:val="000000" w:themeColor="text1"/>
                <w:sz w:val="24"/>
                <w14:textFill>
                  <w14:solidFill>
                    <w14:schemeClr w14:val="tx1"/>
                  </w14:solidFill>
                </w14:textFill>
              </w:rPr>
              <w:t xml:space="preserve">未提供不得分。 </w:t>
            </w:r>
          </w:p>
          <w:p w14:paraId="4222B977">
            <w:pPr>
              <w:spacing w:after="0" w:line="276" w:lineRule="auto"/>
              <w:rPr>
                <w:rFonts w:ascii="宋体" w:hAnsi="宋体" w:eastAsia="仿宋" w:cs="Times New Roman"/>
                <w:b w:val="0"/>
                <w:color w:val="000000" w:themeColor="text1"/>
                <w:sz w:val="24"/>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7、供应商具备中国网络安全审查技术与认证中心的信息安全应急处理服务资质得2分</w:t>
            </w:r>
            <w:r>
              <w:rPr>
                <w:rFonts w:hint="eastAsia" w:ascii="宋体" w:hAnsi="宋体" w:eastAsia="仿宋" w:cs="Times New Roman"/>
                <w:b w:val="0"/>
                <w:color w:val="000000" w:themeColor="text1"/>
                <w:sz w:val="24"/>
                <w:lang w:eastAsia="zh-CN"/>
                <w14:textFill>
                  <w14:solidFill>
                    <w14:schemeClr w14:val="tx1"/>
                  </w14:solidFill>
                </w14:textFill>
              </w:rPr>
              <w:t>，</w:t>
            </w:r>
            <w:r>
              <w:rPr>
                <w:rFonts w:ascii="宋体" w:hAnsi="宋体" w:eastAsia="仿宋" w:cs="Times New Roman"/>
                <w:b w:val="0"/>
                <w:color w:val="000000" w:themeColor="text1"/>
                <w:sz w:val="24"/>
                <w14:textFill>
                  <w14:solidFill>
                    <w14:schemeClr w14:val="tx1"/>
                  </w14:solidFill>
                </w14:textFill>
              </w:rPr>
              <w:t xml:space="preserve">未提供不得分。 </w:t>
            </w:r>
          </w:p>
          <w:p w14:paraId="366AAD54">
            <w:pPr>
              <w:spacing w:after="0" w:line="276" w:lineRule="auto"/>
              <w:rPr>
                <w:rFonts w:hint="eastAsia" w:ascii="宋体" w:hAnsi="宋体" w:eastAsia="仿宋" w:cs="Times New Roman"/>
                <w:b w:val="0"/>
                <w:color w:val="000000" w:themeColor="text1"/>
                <w:sz w:val="24"/>
                <w:lang w:eastAsia="zh-CN"/>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 xml:space="preserve">8、供应商具备国家信息安全漏洞库（CNNVD）技术支撑单位证书得2分 </w:t>
            </w:r>
            <w:r>
              <w:rPr>
                <w:rFonts w:hint="eastAsia" w:ascii="宋体" w:hAnsi="宋体" w:eastAsia="仿宋" w:cs="Times New Roman"/>
                <w:b w:val="0"/>
                <w:color w:val="000000" w:themeColor="text1"/>
                <w:sz w:val="24"/>
                <w:lang w:eastAsia="zh-CN"/>
                <w14:textFill>
                  <w14:solidFill>
                    <w14:schemeClr w14:val="tx1"/>
                  </w14:solidFill>
                </w14:textFill>
              </w:rPr>
              <w:t>，</w:t>
            </w:r>
            <w:r>
              <w:rPr>
                <w:rFonts w:ascii="宋体" w:hAnsi="宋体" w:eastAsia="仿宋" w:cs="Times New Roman"/>
                <w:b w:val="0"/>
                <w:color w:val="000000" w:themeColor="text1"/>
                <w:sz w:val="24"/>
                <w14:textFill>
                  <w14:solidFill>
                    <w14:schemeClr w14:val="tx1"/>
                  </w14:solidFill>
                </w14:textFill>
              </w:rPr>
              <w:t>未提供不得分。</w:t>
            </w:r>
          </w:p>
          <w:p w14:paraId="03EA792E">
            <w:pPr>
              <w:spacing w:after="0" w:line="276" w:lineRule="auto"/>
              <w:rPr>
                <w:rFonts w:ascii="宋体" w:hAnsi="宋体" w:eastAsia="仿宋" w:cs="Times New Roman"/>
                <w:b w:val="0"/>
                <w:color w:val="000000" w:themeColor="text1"/>
                <w:sz w:val="24"/>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9、投标人具备数据管理能力成熟度(乙方)等级证书，受管理级(2级)资质的得2分</w:t>
            </w:r>
            <w:r>
              <w:rPr>
                <w:rFonts w:hint="eastAsia" w:ascii="宋体" w:hAnsi="宋体" w:eastAsia="仿宋" w:cs="Times New Roman"/>
                <w:b w:val="0"/>
                <w:color w:val="000000" w:themeColor="text1"/>
                <w:sz w:val="24"/>
                <w:lang w:eastAsia="zh-CN"/>
                <w14:textFill>
                  <w14:solidFill>
                    <w14:schemeClr w14:val="tx1"/>
                  </w14:solidFill>
                </w14:textFill>
              </w:rPr>
              <w:t>，</w:t>
            </w:r>
            <w:r>
              <w:rPr>
                <w:rFonts w:ascii="宋体" w:hAnsi="宋体" w:eastAsia="仿宋" w:cs="Times New Roman"/>
                <w:b w:val="0"/>
                <w:color w:val="000000" w:themeColor="text1"/>
                <w:sz w:val="24"/>
                <w14:textFill>
                  <w14:solidFill>
                    <w14:schemeClr w14:val="tx1"/>
                  </w14:solidFill>
                </w14:textFill>
              </w:rPr>
              <w:t xml:space="preserve">未提供不得分。 </w:t>
            </w:r>
          </w:p>
          <w:p w14:paraId="369B1836">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注：需提供相关证书复印件并加盖公章。</w:t>
            </w:r>
          </w:p>
        </w:tc>
      </w:tr>
      <w:tr w14:paraId="20F9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tcPr>
          <w:p w14:paraId="11CE0C37">
            <w:pPr>
              <w:spacing w:after="0" w:line="276" w:lineRule="auto"/>
              <w:rPr>
                <w:rFonts w:hint="eastAsia" w:eastAsia="宋体"/>
                <w:color w:val="000000" w:themeColor="text1"/>
                <w:lang w:eastAsia="zh-CN"/>
                <w14:textFill>
                  <w14:solidFill>
                    <w14:schemeClr w14:val="tx1"/>
                  </w14:solidFill>
                </w14:textFill>
              </w:rPr>
            </w:pPr>
            <w:r>
              <w:rPr>
                <w:rFonts w:hint="eastAsia" w:ascii="宋体" w:hAnsi="宋体" w:eastAsia="仿宋" w:cs="Times New Roman"/>
                <w:b w:val="0"/>
                <w:color w:val="000000" w:themeColor="text1"/>
                <w:sz w:val="24"/>
                <w:lang w:val="en-US" w:eastAsia="zh-CN"/>
                <w14:textFill>
                  <w14:solidFill>
                    <w14:schemeClr w14:val="tx1"/>
                  </w14:solidFill>
                </w14:textFill>
              </w:rPr>
              <w:t>3</w:t>
            </w:r>
          </w:p>
        </w:tc>
        <w:tc>
          <w:tcPr>
            <w:tcW w:w="1144" w:type="dxa"/>
          </w:tcPr>
          <w:p w14:paraId="7F9861E3">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类似业绩评价</w:t>
            </w:r>
          </w:p>
        </w:tc>
        <w:tc>
          <w:tcPr>
            <w:tcW w:w="1161" w:type="dxa"/>
          </w:tcPr>
          <w:p w14:paraId="57818438">
            <w:pPr>
              <w:spacing w:after="0" w:line="276" w:lineRule="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6760" w:type="dxa"/>
          </w:tcPr>
          <w:p w14:paraId="695665D9">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自 202</w:t>
            </w:r>
            <w:r>
              <w:rPr>
                <w:rFonts w:hint="eastAsia" w:ascii="宋体" w:hAnsi="宋体" w:eastAsia="仿宋" w:cs="Times New Roman"/>
                <w:b w:val="0"/>
                <w:color w:val="000000" w:themeColor="text1"/>
                <w:sz w:val="24"/>
                <w:lang w:val="en-US" w:eastAsia="zh-CN"/>
                <w14:textFill>
                  <w14:solidFill>
                    <w14:schemeClr w14:val="tx1"/>
                  </w14:solidFill>
                </w14:textFill>
              </w:rPr>
              <w:t>4</w:t>
            </w:r>
            <w:r>
              <w:rPr>
                <w:rFonts w:ascii="宋体" w:hAnsi="宋体" w:eastAsia="仿宋" w:cs="Times New Roman"/>
                <w:b w:val="0"/>
                <w:color w:val="000000" w:themeColor="text1"/>
                <w:sz w:val="24"/>
                <w14:textFill>
                  <w14:solidFill>
                    <w14:schemeClr w14:val="tx1"/>
                  </w14:solidFill>
                </w14:textFill>
              </w:rPr>
              <w:t xml:space="preserve"> 年 1 月 1 日（以合同签订日期为准）以来，完成过网络安全等级保护测评服务项目的，每个项目得 </w:t>
            </w:r>
            <w:r>
              <w:rPr>
                <w:rFonts w:hint="eastAsia" w:ascii="宋体" w:hAnsi="宋体" w:eastAsia="仿宋" w:cs="Times New Roman"/>
                <w:b w:val="0"/>
                <w:color w:val="000000" w:themeColor="text1"/>
                <w:sz w:val="24"/>
                <w:lang w:val="en-US" w:eastAsia="zh-CN"/>
                <w14:textFill>
                  <w14:solidFill>
                    <w14:schemeClr w14:val="tx1"/>
                  </w14:solidFill>
                </w14:textFill>
              </w:rPr>
              <w:t>1</w:t>
            </w:r>
            <w:r>
              <w:rPr>
                <w:rFonts w:ascii="宋体" w:hAnsi="宋体" w:eastAsia="仿宋" w:cs="Times New Roman"/>
                <w:b w:val="0"/>
                <w:color w:val="000000" w:themeColor="text1"/>
                <w:sz w:val="24"/>
                <w14:textFill>
                  <w14:solidFill>
                    <w14:schemeClr w14:val="tx1"/>
                  </w14:solidFill>
                </w14:textFill>
              </w:rPr>
              <w:t>分，最高得</w:t>
            </w:r>
            <w:r>
              <w:rPr>
                <w:rFonts w:hint="eastAsia" w:ascii="宋体" w:hAnsi="宋体" w:eastAsia="仿宋" w:cs="Times New Roman"/>
                <w:b w:val="0"/>
                <w:color w:val="000000" w:themeColor="text1"/>
                <w:sz w:val="24"/>
                <w:lang w:val="en-US" w:eastAsia="zh-CN"/>
                <w14:textFill>
                  <w14:solidFill>
                    <w14:schemeClr w14:val="tx1"/>
                  </w14:solidFill>
                </w14:textFill>
              </w:rPr>
              <w:t>2</w:t>
            </w:r>
            <w:r>
              <w:rPr>
                <w:rFonts w:ascii="宋体" w:hAnsi="宋体" w:eastAsia="仿宋" w:cs="Times New Roman"/>
                <w:b w:val="0"/>
                <w:color w:val="000000" w:themeColor="text1"/>
                <w:sz w:val="24"/>
                <w14:textFill>
                  <w14:solidFill>
                    <w14:schemeClr w14:val="tx1"/>
                  </w14:solidFill>
                </w14:textFill>
              </w:rPr>
              <w:t xml:space="preserve"> 分。 注：须提供合同复印件并加盖公章，合同应能体现项目名称及服务内容。</w:t>
            </w:r>
          </w:p>
        </w:tc>
      </w:tr>
      <w:tr w14:paraId="5256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tcPr>
          <w:p w14:paraId="2F545181">
            <w:pPr>
              <w:spacing w:after="0" w:line="276" w:lineRule="auto"/>
              <w:rPr>
                <w:rFonts w:hint="eastAsia" w:eastAsia="宋体"/>
                <w:color w:val="000000" w:themeColor="text1"/>
                <w:lang w:val="en-US" w:eastAsia="zh-CN"/>
                <w14:textFill>
                  <w14:solidFill>
                    <w14:schemeClr w14:val="tx1"/>
                  </w14:solidFill>
                </w14:textFill>
              </w:rPr>
            </w:pPr>
            <w:r>
              <w:rPr>
                <w:rFonts w:hint="eastAsia" w:ascii="宋体" w:hAnsi="宋体" w:eastAsia="仿宋" w:cs="Times New Roman"/>
                <w:b w:val="0"/>
                <w:color w:val="000000" w:themeColor="text1"/>
                <w:sz w:val="24"/>
                <w:lang w:val="en-US" w:eastAsia="zh-CN"/>
                <w14:textFill>
                  <w14:solidFill>
                    <w14:schemeClr w14:val="tx1"/>
                  </w14:solidFill>
                </w14:textFill>
              </w:rPr>
              <w:t>4</w:t>
            </w:r>
          </w:p>
        </w:tc>
        <w:tc>
          <w:tcPr>
            <w:tcW w:w="1144" w:type="dxa"/>
          </w:tcPr>
          <w:p w14:paraId="576F7B32">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测评方案评价</w:t>
            </w:r>
          </w:p>
        </w:tc>
        <w:tc>
          <w:tcPr>
            <w:tcW w:w="1161" w:type="dxa"/>
          </w:tcPr>
          <w:p w14:paraId="7DB49C0F">
            <w:pPr>
              <w:spacing w:after="0" w:line="276" w:lineRule="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18</w:t>
            </w:r>
          </w:p>
        </w:tc>
        <w:tc>
          <w:tcPr>
            <w:tcW w:w="6760" w:type="dxa"/>
          </w:tcPr>
          <w:p w14:paraId="483CBE10">
            <w:pPr>
              <w:spacing w:after="0" w:line="276" w:lineRule="auto"/>
              <w:rPr>
                <w:rFonts w:ascii="宋体" w:hAnsi="宋体" w:eastAsia="仿宋" w:cs="Times New Roman"/>
                <w:b w:val="0"/>
                <w:color w:val="000000" w:themeColor="text1"/>
                <w:sz w:val="24"/>
                <w:highlight w:val="none"/>
                <w14:textFill>
                  <w14:solidFill>
                    <w14:schemeClr w14:val="tx1"/>
                  </w14:solidFill>
                </w14:textFill>
              </w:rPr>
            </w:pPr>
            <w:r>
              <w:rPr>
                <w:rFonts w:ascii="宋体" w:hAnsi="宋体" w:eastAsia="仿宋" w:cs="Times New Roman"/>
                <w:b w:val="0"/>
                <w:color w:val="000000" w:themeColor="text1"/>
                <w:sz w:val="24"/>
                <w:highlight w:val="none"/>
                <w14:textFill>
                  <w14:solidFill>
                    <w14:schemeClr w14:val="tx1"/>
                  </w14:solidFill>
                </w14:textFill>
              </w:rPr>
              <w:t xml:space="preserve">1、根据各供应商在响应文件中相关描述，考察测评方案是否包含安全物理环境、安全通信网络、安全区域边界、安全计算环境、安全管理中心、安全管理制度、安全管理机构、安全管理人员、安全建设管理、安全运维管理等测评点，有 9-10 个测评点的得 </w:t>
            </w:r>
            <w:r>
              <w:rPr>
                <w:rFonts w:hint="eastAsia" w:ascii="宋体" w:hAnsi="宋体" w:eastAsia="仿宋" w:cs="Times New Roman"/>
                <w:b w:val="0"/>
                <w:color w:val="000000" w:themeColor="text1"/>
                <w:sz w:val="24"/>
                <w:highlight w:val="none"/>
                <w:lang w:val="en-US" w:eastAsia="zh-CN"/>
                <w14:textFill>
                  <w14:solidFill>
                    <w14:schemeClr w14:val="tx1"/>
                  </w14:solidFill>
                </w14:textFill>
              </w:rPr>
              <w:t>6</w:t>
            </w:r>
            <w:r>
              <w:rPr>
                <w:rFonts w:ascii="宋体" w:hAnsi="宋体" w:eastAsia="仿宋" w:cs="Times New Roman"/>
                <w:b w:val="0"/>
                <w:color w:val="000000" w:themeColor="text1"/>
                <w:sz w:val="24"/>
                <w:highlight w:val="none"/>
                <w14:textFill>
                  <w14:solidFill>
                    <w14:schemeClr w14:val="tx1"/>
                  </w14:solidFill>
                </w14:textFill>
              </w:rPr>
              <w:t xml:space="preserve">分，5-8 个测评点的得 </w:t>
            </w:r>
            <w:r>
              <w:rPr>
                <w:rFonts w:hint="eastAsia" w:ascii="宋体" w:hAnsi="宋体" w:eastAsia="仿宋" w:cs="Times New Roman"/>
                <w:b w:val="0"/>
                <w:color w:val="000000" w:themeColor="text1"/>
                <w:sz w:val="24"/>
                <w:highlight w:val="none"/>
                <w:lang w:val="en-US" w:eastAsia="zh-CN"/>
                <w14:textFill>
                  <w14:solidFill>
                    <w14:schemeClr w14:val="tx1"/>
                  </w14:solidFill>
                </w14:textFill>
              </w:rPr>
              <w:t>3</w:t>
            </w:r>
            <w:r>
              <w:rPr>
                <w:rFonts w:ascii="宋体" w:hAnsi="宋体" w:eastAsia="仿宋" w:cs="Times New Roman"/>
                <w:b w:val="0"/>
                <w:color w:val="000000" w:themeColor="text1"/>
                <w:sz w:val="24"/>
                <w:highlight w:val="none"/>
                <w14:textFill>
                  <w14:solidFill>
                    <w14:schemeClr w14:val="tx1"/>
                  </w14:solidFill>
                </w14:textFill>
              </w:rPr>
              <w:t xml:space="preserve"> 分，1-4 个测评点的得 </w:t>
            </w:r>
            <w:r>
              <w:rPr>
                <w:rFonts w:hint="eastAsia" w:ascii="宋体" w:hAnsi="宋体" w:eastAsia="仿宋" w:cs="Times New Roman"/>
                <w:b w:val="0"/>
                <w:color w:val="000000" w:themeColor="text1"/>
                <w:sz w:val="24"/>
                <w:highlight w:val="none"/>
                <w:lang w:val="en-US" w:eastAsia="zh-CN"/>
                <w14:textFill>
                  <w14:solidFill>
                    <w14:schemeClr w14:val="tx1"/>
                  </w14:solidFill>
                </w14:textFill>
              </w:rPr>
              <w:t>1</w:t>
            </w:r>
            <w:r>
              <w:rPr>
                <w:rFonts w:ascii="宋体" w:hAnsi="宋体" w:eastAsia="仿宋" w:cs="Times New Roman"/>
                <w:b w:val="0"/>
                <w:color w:val="000000" w:themeColor="text1"/>
                <w:sz w:val="24"/>
                <w:highlight w:val="none"/>
                <w14:textFill>
                  <w14:solidFill>
                    <w14:schemeClr w14:val="tx1"/>
                  </w14:solidFill>
                </w14:textFill>
              </w:rPr>
              <w:t xml:space="preserve">分。 </w:t>
            </w:r>
          </w:p>
          <w:p w14:paraId="3503BA07">
            <w:pPr>
              <w:spacing w:after="0" w:line="276" w:lineRule="auto"/>
              <w:rPr>
                <w:rFonts w:ascii="宋体" w:hAnsi="宋体" w:eastAsia="仿宋" w:cs="Times New Roman"/>
                <w:b w:val="0"/>
                <w:color w:val="000000" w:themeColor="text1"/>
                <w:sz w:val="24"/>
                <w:highlight w:val="none"/>
                <w14:textFill>
                  <w14:solidFill>
                    <w14:schemeClr w14:val="tx1"/>
                  </w14:solidFill>
                </w14:textFill>
              </w:rPr>
            </w:pPr>
            <w:r>
              <w:rPr>
                <w:rFonts w:ascii="宋体" w:hAnsi="宋体" w:eastAsia="仿宋" w:cs="Times New Roman"/>
                <w:b w:val="0"/>
                <w:color w:val="000000" w:themeColor="text1"/>
                <w:sz w:val="24"/>
                <w:highlight w:val="none"/>
                <w14:textFill>
                  <w14:solidFill>
                    <w14:schemeClr w14:val="tx1"/>
                  </w14:solidFill>
                </w14:textFill>
              </w:rPr>
              <w:t>2、测评方案包含安全控制点间、层面间、区域间、系统结构等方面，有1个测评说明的得</w:t>
            </w:r>
            <w:r>
              <w:rPr>
                <w:rFonts w:hint="eastAsia" w:ascii="宋体" w:hAnsi="宋体" w:eastAsia="仿宋" w:cs="Times New Roman"/>
                <w:b w:val="0"/>
                <w:color w:val="000000" w:themeColor="text1"/>
                <w:sz w:val="24"/>
                <w:highlight w:val="none"/>
                <w:lang w:val="en-US" w:eastAsia="zh-CN"/>
                <w14:textFill>
                  <w14:solidFill>
                    <w14:schemeClr w14:val="tx1"/>
                  </w14:solidFill>
                </w14:textFill>
              </w:rPr>
              <w:t>0.5</w:t>
            </w:r>
            <w:r>
              <w:rPr>
                <w:rFonts w:ascii="宋体" w:hAnsi="宋体" w:eastAsia="仿宋" w:cs="Times New Roman"/>
                <w:b w:val="0"/>
                <w:color w:val="000000" w:themeColor="text1"/>
                <w:sz w:val="24"/>
                <w:highlight w:val="none"/>
                <w14:textFill>
                  <w14:solidFill>
                    <w14:schemeClr w14:val="tx1"/>
                  </w14:solidFill>
                </w14:textFill>
              </w:rPr>
              <w:t>分，最高得</w:t>
            </w:r>
            <w:r>
              <w:rPr>
                <w:rFonts w:hint="eastAsia" w:ascii="宋体" w:hAnsi="宋体" w:eastAsia="仿宋" w:cs="Times New Roman"/>
                <w:b w:val="0"/>
                <w:color w:val="000000" w:themeColor="text1"/>
                <w:sz w:val="24"/>
                <w:highlight w:val="none"/>
                <w:lang w:val="en-US" w:eastAsia="zh-CN"/>
                <w14:textFill>
                  <w14:solidFill>
                    <w14:schemeClr w14:val="tx1"/>
                  </w14:solidFill>
                </w14:textFill>
              </w:rPr>
              <w:t>5</w:t>
            </w:r>
            <w:r>
              <w:rPr>
                <w:rFonts w:ascii="宋体" w:hAnsi="宋体" w:eastAsia="仿宋" w:cs="Times New Roman"/>
                <w:b w:val="0"/>
                <w:color w:val="000000" w:themeColor="text1"/>
                <w:sz w:val="24"/>
                <w:highlight w:val="none"/>
                <w14:textFill>
                  <w14:solidFill>
                    <w14:schemeClr w14:val="tx1"/>
                  </w14:solidFill>
                </w14:textFill>
              </w:rPr>
              <w:t xml:space="preserve">分。 </w:t>
            </w:r>
          </w:p>
          <w:p w14:paraId="6D7561C0">
            <w:pPr>
              <w:spacing w:after="0" w:line="276" w:lineRule="auto"/>
              <w:rPr>
                <w:color w:val="000000" w:themeColor="text1"/>
                <w:highlight w:val="none"/>
                <w14:textFill>
                  <w14:solidFill>
                    <w14:schemeClr w14:val="tx1"/>
                  </w14:solidFill>
                </w14:textFill>
              </w:rPr>
            </w:pPr>
            <w:r>
              <w:rPr>
                <w:rFonts w:ascii="宋体" w:hAnsi="宋体" w:eastAsia="仿宋" w:cs="Times New Roman"/>
                <w:b w:val="0"/>
                <w:color w:val="000000" w:themeColor="text1"/>
                <w:sz w:val="24"/>
                <w:highlight w:val="none"/>
                <w14:textFill>
                  <w14:solidFill>
                    <w14:schemeClr w14:val="tx1"/>
                  </w14:solidFill>
                </w14:textFill>
              </w:rPr>
              <w:t>3、渗透测试方案应包含：①渗透测试方法及方法分类；②常用技术手段；③主要测试对象及比较；④测试路径与内容；⑤可能存在的脆弱性比较。每包含 1 项得 1 分，最多得 5 分；另提供不少于 2 个渗透测试用例（含测试目的、使用工具、操作步骤、预期结果）的得 2 分。</w:t>
            </w:r>
            <w:r>
              <w:rPr>
                <w:rFonts w:hint="eastAsia" w:ascii="宋体" w:hAnsi="宋体" w:eastAsia="仿宋" w:cs="Times New Roman"/>
                <w:b w:val="0"/>
                <w:color w:val="000000" w:themeColor="text1"/>
                <w:sz w:val="24"/>
                <w:highlight w:val="none"/>
                <w:lang w:val="en-US" w:eastAsia="zh-CN"/>
                <w14:textFill>
                  <w14:solidFill>
                    <w14:schemeClr w14:val="tx1"/>
                  </w14:solidFill>
                </w14:textFill>
              </w:rPr>
              <w:t>此</w:t>
            </w:r>
            <w:r>
              <w:rPr>
                <w:rFonts w:ascii="宋体" w:hAnsi="宋体" w:eastAsia="仿宋" w:cs="Times New Roman"/>
                <w:b w:val="0"/>
                <w:color w:val="000000" w:themeColor="text1"/>
                <w:sz w:val="24"/>
                <w:highlight w:val="none"/>
                <w14:textFill>
                  <w14:solidFill>
                    <w14:schemeClr w14:val="tx1"/>
                  </w14:solidFill>
                </w14:textFill>
              </w:rPr>
              <w:t>项最高</w:t>
            </w:r>
            <w:r>
              <w:rPr>
                <w:rFonts w:hint="eastAsia" w:ascii="宋体" w:hAnsi="宋体" w:eastAsia="仿宋" w:cs="Times New Roman"/>
                <w:b w:val="0"/>
                <w:color w:val="000000" w:themeColor="text1"/>
                <w:sz w:val="24"/>
                <w:highlight w:val="none"/>
                <w:lang w:val="en-US" w:eastAsia="zh-CN"/>
                <w14:textFill>
                  <w14:solidFill>
                    <w14:schemeClr w14:val="tx1"/>
                  </w14:solidFill>
                </w14:textFill>
              </w:rPr>
              <w:t>18</w:t>
            </w:r>
            <w:r>
              <w:rPr>
                <w:rFonts w:ascii="宋体" w:hAnsi="宋体" w:eastAsia="仿宋" w:cs="Times New Roman"/>
                <w:b w:val="0"/>
                <w:color w:val="000000" w:themeColor="text1"/>
                <w:sz w:val="24"/>
                <w:highlight w:val="none"/>
                <w14:textFill>
                  <w14:solidFill>
                    <w14:schemeClr w14:val="tx1"/>
                  </w14:solidFill>
                </w14:textFill>
              </w:rPr>
              <w:t>分，未提供不得分。</w:t>
            </w:r>
          </w:p>
        </w:tc>
      </w:tr>
      <w:tr w14:paraId="6366D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tcPr>
          <w:p w14:paraId="154A0DDF">
            <w:pPr>
              <w:spacing w:after="0" w:line="276" w:lineRule="auto"/>
              <w:rPr>
                <w:rFonts w:hint="eastAsia" w:eastAsia="宋体"/>
                <w:color w:val="000000" w:themeColor="text1"/>
                <w:lang w:eastAsia="zh-CN"/>
                <w14:textFill>
                  <w14:solidFill>
                    <w14:schemeClr w14:val="tx1"/>
                  </w14:solidFill>
                </w14:textFill>
              </w:rPr>
            </w:pPr>
            <w:r>
              <w:rPr>
                <w:rFonts w:hint="eastAsia" w:ascii="宋体" w:hAnsi="宋体" w:eastAsia="仿宋" w:cs="Times New Roman"/>
                <w:b w:val="0"/>
                <w:color w:val="000000" w:themeColor="text1"/>
                <w:sz w:val="24"/>
                <w:lang w:val="en-US" w:eastAsia="zh-CN"/>
                <w14:textFill>
                  <w14:solidFill>
                    <w14:schemeClr w14:val="tx1"/>
                  </w14:solidFill>
                </w14:textFill>
              </w:rPr>
              <w:t>5</w:t>
            </w:r>
          </w:p>
        </w:tc>
        <w:tc>
          <w:tcPr>
            <w:tcW w:w="1144" w:type="dxa"/>
          </w:tcPr>
          <w:p w14:paraId="79FF723C">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风险管控措施</w:t>
            </w:r>
          </w:p>
        </w:tc>
        <w:tc>
          <w:tcPr>
            <w:tcW w:w="1161" w:type="dxa"/>
          </w:tcPr>
          <w:p w14:paraId="2B3E6E6D">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10</w:t>
            </w:r>
          </w:p>
        </w:tc>
        <w:tc>
          <w:tcPr>
            <w:tcW w:w="6760" w:type="dxa"/>
          </w:tcPr>
          <w:p w14:paraId="7DE323A4">
            <w:pPr>
              <w:spacing w:after="0" w:line="276" w:lineRule="auto"/>
              <w:rPr>
                <w:color w:val="000000" w:themeColor="text1"/>
                <w:highlight w:val="none"/>
                <w14:textFill>
                  <w14:solidFill>
                    <w14:schemeClr w14:val="tx1"/>
                  </w14:solidFill>
                </w14:textFill>
              </w:rPr>
            </w:pPr>
            <w:r>
              <w:rPr>
                <w:rFonts w:ascii="宋体" w:hAnsi="宋体" w:eastAsia="仿宋" w:cs="Times New Roman"/>
                <w:b w:val="0"/>
                <w:color w:val="000000" w:themeColor="text1"/>
                <w:sz w:val="24"/>
                <w:highlight w:val="none"/>
                <w14:textFill>
                  <w14:solidFill>
                    <w14:schemeClr w14:val="tx1"/>
                  </w14:solidFill>
                </w14:textFill>
              </w:rPr>
              <w:t>根据各供应商在响应文件中提供的风险管控及应急响应方案：①风险管控方案包含测评风险的识别与分类（如业务中断、数据损坏、敏感信息泄露、木马植入等）的得 2 分，针对识别出的各类风险提出具体规避措施（如避开业务高峰、搭建仿真验证环境、上机操作由采购方技术人员执行、全程监督并现场还原）的得 3 分；②应急响应方案明确异常情况应急处理流程与责任人的得 2 分，对不少于 2 类典型安全事件给出具体处置方法的得 3 分。</w:t>
            </w:r>
          </w:p>
        </w:tc>
      </w:tr>
      <w:tr w14:paraId="5122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tcPr>
          <w:p w14:paraId="0EDD1950">
            <w:pPr>
              <w:spacing w:after="0" w:line="276" w:lineRule="auto"/>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p>
        </w:tc>
        <w:tc>
          <w:tcPr>
            <w:tcW w:w="1144" w:type="dxa"/>
          </w:tcPr>
          <w:p w14:paraId="6809CE9D">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安全整改方案</w:t>
            </w:r>
          </w:p>
        </w:tc>
        <w:tc>
          <w:tcPr>
            <w:tcW w:w="1161" w:type="dxa"/>
          </w:tcPr>
          <w:p w14:paraId="5995F5C2">
            <w:pPr>
              <w:spacing w:after="0" w:line="276" w:lineRule="auto"/>
              <w:rPr>
                <w:rFonts w:hint="eastAsia" w:eastAsia="仿宋"/>
                <w:color w:val="000000" w:themeColor="text1"/>
                <w:lang w:val="en-US" w:eastAsia="zh-CN"/>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1</w:t>
            </w:r>
            <w:r>
              <w:rPr>
                <w:rFonts w:hint="eastAsia" w:ascii="宋体" w:hAnsi="宋体" w:eastAsia="仿宋" w:cs="Times New Roman"/>
                <w:b w:val="0"/>
                <w:color w:val="000000" w:themeColor="text1"/>
                <w:sz w:val="24"/>
                <w:lang w:val="en-US" w:eastAsia="zh-CN"/>
                <w14:textFill>
                  <w14:solidFill>
                    <w14:schemeClr w14:val="tx1"/>
                  </w14:solidFill>
                </w14:textFill>
              </w:rPr>
              <w:t>0</w:t>
            </w:r>
          </w:p>
        </w:tc>
        <w:tc>
          <w:tcPr>
            <w:tcW w:w="6760" w:type="dxa"/>
          </w:tcPr>
          <w:p w14:paraId="21C3394F">
            <w:pPr>
              <w:spacing w:after="0" w:line="276" w:lineRule="auto"/>
              <w:rPr>
                <w:color w:val="000000" w:themeColor="text1"/>
                <w:highlight w:val="none"/>
                <w14:textFill>
                  <w14:solidFill>
                    <w14:schemeClr w14:val="tx1"/>
                  </w14:solidFill>
                </w14:textFill>
              </w:rPr>
            </w:pPr>
            <w:r>
              <w:rPr>
                <w:rFonts w:ascii="宋体" w:hAnsi="宋体" w:eastAsia="仿宋" w:cs="Times New Roman"/>
                <w:b w:val="0"/>
                <w:color w:val="000000" w:themeColor="text1"/>
                <w:sz w:val="24"/>
                <w:highlight w:val="none"/>
                <w14:textFill>
                  <w14:solidFill>
                    <w14:schemeClr w14:val="tx1"/>
                  </w14:solidFill>
                </w14:textFill>
              </w:rPr>
              <w:t xml:space="preserve">根据各供应商在响应文件中提供的整改方案：①提供差距分析结果（须覆盖技术与管理两方面）的得 </w:t>
            </w:r>
            <w:r>
              <w:rPr>
                <w:rFonts w:hint="eastAsia" w:ascii="宋体" w:hAnsi="宋体" w:eastAsia="仿宋" w:cs="Times New Roman"/>
                <w:b w:val="0"/>
                <w:color w:val="000000" w:themeColor="text1"/>
                <w:sz w:val="24"/>
                <w:highlight w:val="none"/>
                <w:lang w:val="en-US" w:eastAsia="zh-CN"/>
                <w14:textFill>
                  <w14:solidFill>
                    <w14:schemeClr w14:val="tx1"/>
                  </w14:solidFill>
                </w14:textFill>
              </w:rPr>
              <w:t>3</w:t>
            </w:r>
            <w:r>
              <w:rPr>
                <w:rFonts w:ascii="宋体" w:hAnsi="宋体" w:eastAsia="仿宋" w:cs="Times New Roman"/>
                <w:b w:val="0"/>
                <w:color w:val="000000" w:themeColor="text1"/>
                <w:sz w:val="24"/>
                <w:highlight w:val="none"/>
                <w14:textFill>
                  <w14:solidFill>
                    <w14:schemeClr w14:val="tx1"/>
                  </w14:solidFill>
                </w14:textFill>
              </w:rPr>
              <w:t xml:space="preserve">分；②针对差距分析结果逐条提出可落地整改建议的得 </w:t>
            </w:r>
            <w:r>
              <w:rPr>
                <w:rFonts w:hint="eastAsia" w:ascii="宋体" w:hAnsi="宋体" w:eastAsia="仿宋" w:cs="Times New Roman"/>
                <w:b w:val="0"/>
                <w:color w:val="000000" w:themeColor="text1"/>
                <w:sz w:val="24"/>
                <w:highlight w:val="none"/>
                <w:lang w:val="en-US" w:eastAsia="zh-CN"/>
                <w14:textFill>
                  <w14:solidFill>
                    <w14:schemeClr w14:val="tx1"/>
                  </w14:solidFill>
                </w14:textFill>
              </w:rPr>
              <w:t>3</w:t>
            </w:r>
            <w:r>
              <w:rPr>
                <w:rFonts w:ascii="宋体" w:hAnsi="宋体" w:eastAsia="仿宋" w:cs="Times New Roman"/>
                <w:b w:val="0"/>
                <w:color w:val="000000" w:themeColor="text1"/>
                <w:sz w:val="24"/>
                <w:highlight w:val="none"/>
                <w14:textFill>
                  <w14:solidFill>
                    <w14:schemeClr w14:val="tx1"/>
                  </w14:solidFill>
                </w14:textFill>
              </w:rPr>
              <w:t xml:space="preserve">分；③承诺在采购人整改完毕后免费协助开展整改复核与复测（须提供承诺函）的得 3 分；④结合本项目三个被测系统实际情况分别说明的得 </w:t>
            </w:r>
            <w:r>
              <w:rPr>
                <w:rFonts w:hint="eastAsia" w:ascii="宋体" w:hAnsi="宋体" w:eastAsia="仿宋" w:cs="Times New Roman"/>
                <w:b w:val="0"/>
                <w:color w:val="000000" w:themeColor="text1"/>
                <w:sz w:val="24"/>
                <w:highlight w:val="none"/>
                <w:lang w:val="en-US" w:eastAsia="zh-CN"/>
                <w14:textFill>
                  <w14:solidFill>
                    <w14:schemeClr w14:val="tx1"/>
                  </w14:solidFill>
                </w14:textFill>
              </w:rPr>
              <w:t>1</w:t>
            </w:r>
            <w:r>
              <w:rPr>
                <w:rFonts w:ascii="宋体" w:hAnsi="宋体" w:eastAsia="仿宋" w:cs="Times New Roman"/>
                <w:b w:val="0"/>
                <w:color w:val="000000" w:themeColor="text1"/>
                <w:sz w:val="24"/>
                <w:highlight w:val="none"/>
                <w14:textFill>
                  <w14:solidFill>
                    <w14:schemeClr w14:val="tx1"/>
                  </w14:solidFill>
                </w14:textFill>
              </w:rPr>
              <w:t xml:space="preserve"> 分。</w:t>
            </w:r>
          </w:p>
        </w:tc>
      </w:tr>
      <w:tr w14:paraId="39BC8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tcPr>
          <w:p w14:paraId="30595241">
            <w:pPr>
              <w:spacing w:after="0" w:line="276" w:lineRule="auto"/>
              <w:rPr>
                <w:rFonts w:hint="eastAsia" w:eastAsia="宋体"/>
                <w:color w:val="000000" w:themeColor="text1"/>
                <w:lang w:eastAsia="zh-CN"/>
                <w14:textFill>
                  <w14:solidFill>
                    <w14:schemeClr w14:val="tx1"/>
                  </w14:solidFill>
                </w14:textFill>
              </w:rPr>
            </w:pPr>
            <w:r>
              <w:rPr>
                <w:rFonts w:hint="eastAsia" w:ascii="宋体" w:hAnsi="宋体" w:eastAsia="仿宋" w:cs="Times New Roman"/>
                <w:b w:val="0"/>
                <w:color w:val="000000" w:themeColor="text1"/>
                <w:sz w:val="24"/>
                <w:lang w:val="en-US" w:eastAsia="zh-CN"/>
                <w14:textFill>
                  <w14:solidFill>
                    <w14:schemeClr w14:val="tx1"/>
                  </w14:solidFill>
                </w14:textFill>
              </w:rPr>
              <w:t>7</w:t>
            </w:r>
          </w:p>
        </w:tc>
        <w:tc>
          <w:tcPr>
            <w:tcW w:w="1144" w:type="dxa"/>
          </w:tcPr>
          <w:p w14:paraId="0A70A27A">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团队人员</w:t>
            </w:r>
          </w:p>
        </w:tc>
        <w:tc>
          <w:tcPr>
            <w:tcW w:w="1161" w:type="dxa"/>
          </w:tcPr>
          <w:p w14:paraId="067C978F">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15</w:t>
            </w:r>
          </w:p>
        </w:tc>
        <w:tc>
          <w:tcPr>
            <w:tcW w:w="6760" w:type="dxa"/>
          </w:tcPr>
          <w:p w14:paraId="6CAC4A1A">
            <w:pPr>
              <w:spacing w:after="0" w:line="276" w:lineRule="auto"/>
              <w:rPr>
                <w:color w:val="000000" w:themeColor="text1"/>
                <w14:textFill>
                  <w14:solidFill>
                    <w14:schemeClr w14:val="tx1"/>
                  </w14:solidFill>
                </w14:textFill>
              </w:rPr>
            </w:pPr>
            <w:r>
              <w:rPr>
                <w:rFonts w:ascii="宋体" w:hAnsi="宋体" w:eastAsia="仿宋" w:cs="Times New Roman"/>
                <w:b w:val="0"/>
                <w:color w:val="000000" w:themeColor="text1"/>
                <w:sz w:val="24"/>
                <w14:textFill>
                  <w14:solidFill>
                    <w14:schemeClr w14:val="tx1"/>
                  </w14:solidFill>
                </w14:textFill>
              </w:rPr>
              <w:t>1、项目经理具备等级保护高级测评师证书及 CISP、CIIPT、CISAW（信息安全保障人员）、CCSC 网络安全能力认证、CCRC 数据安全官、PMP 证书的，每具</w:t>
            </w:r>
            <w:bookmarkStart w:id="0" w:name="_GoBack"/>
            <w:bookmarkEnd w:id="0"/>
            <w:r>
              <w:rPr>
                <w:rFonts w:ascii="宋体" w:hAnsi="宋体" w:eastAsia="仿宋" w:cs="Times New Roman"/>
                <w:b w:val="0"/>
                <w:color w:val="000000" w:themeColor="text1"/>
                <w:sz w:val="24"/>
                <w14:textFill>
                  <w14:solidFill>
                    <w14:schemeClr w14:val="tx1"/>
                  </w14:solidFill>
                </w14:textFill>
              </w:rPr>
              <w:t>备 1 项得 1 分，最高得 7 分。 2、项目组其他成员（不含项目经理）：具有信息安全保障人员认证证书（CISAW）证书、注册信息安全专业人员（CISP）证书、</w:t>
            </w:r>
            <w:r>
              <w:rPr>
                <w:rFonts w:hint="eastAsia" w:cs="Times New Roman"/>
                <w:b w:val="0"/>
                <w:color w:val="000000" w:themeColor="text1"/>
                <w:sz w:val="24"/>
                <w:lang w:val="en-US" w:eastAsia="zh-CN"/>
                <w14:textFill>
                  <w14:solidFill>
                    <w14:schemeClr w14:val="tx1"/>
                  </w14:solidFill>
                </w14:textFill>
              </w:rPr>
              <w:t>ITSS</w:t>
            </w:r>
            <w:r>
              <w:rPr>
                <w:rFonts w:ascii="宋体" w:hAnsi="宋体" w:eastAsia="仿宋" w:cs="Times New Roman"/>
                <w:b w:val="0"/>
                <w:color w:val="000000" w:themeColor="text1"/>
                <w:sz w:val="24"/>
                <w14:textFill>
                  <w14:solidFill>
                    <w14:schemeClr w14:val="tx1"/>
                  </w14:solidFill>
                </w14:textFill>
              </w:rPr>
              <w:t>证书、PMP证书、注册网络安全渗透评估专业人员证书（NSATP-A专业级）、注册渗透测试工程师证书（CISP-PTE）、</w:t>
            </w:r>
            <w:r>
              <w:rPr>
                <w:rFonts w:hint="eastAsia" w:ascii="宋体" w:hAnsi="宋体" w:eastAsia="仿宋" w:cs="Times New Roman"/>
                <w:b w:val="0"/>
                <w:color w:val="000000" w:themeColor="text1"/>
                <w:sz w:val="24"/>
                <w14:textFill>
                  <w14:solidFill>
                    <w14:schemeClr w14:val="tx1"/>
                  </w14:solidFill>
                </w14:textFill>
              </w:rPr>
              <w:t>移动互联网安全工程师(CAPPSEC)</w:t>
            </w:r>
            <w:r>
              <w:rPr>
                <w:rFonts w:hint="eastAsia" w:cs="Times New Roman"/>
                <w:b w:val="0"/>
                <w:color w:val="000000" w:themeColor="text1"/>
                <w:sz w:val="24"/>
                <w:lang w:eastAsia="zh-CN"/>
                <w14:textFill>
                  <w14:solidFill>
                    <w14:schemeClr w14:val="tx1"/>
                  </w14:solidFill>
                </w14:textFill>
              </w:rPr>
              <w:t>、</w:t>
            </w:r>
            <w:r>
              <w:rPr>
                <w:rFonts w:ascii="宋体" w:hAnsi="宋体" w:eastAsia="仿宋" w:cs="Times New Roman"/>
                <w:b w:val="0"/>
                <w:color w:val="000000" w:themeColor="text1"/>
                <w:sz w:val="24"/>
                <w14:textFill>
                  <w14:solidFill>
                    <w14:schemeClr w14:val="tx1"/>
                  </w14:solidFill>
                </w14:textFill>
              </w:rPr>
              <w:t>CCRC数据安全官证书的每有一个得1分，最多得8分。 （同一人员持有多本证书的，仅计一次；提供人员配置表（须能反映上述信息）、人员证书复印件及人员在供应商处近一个月的社保缴纳证明）</w:t>
            </w:r>
          </w:p>
        </w:tc>
      </w:tr>
    </w:tbl>
    <w:p w14:paraId="0166DD7F">
      <w:pPr>
        <w:rPr>
          <w:rFonts w:hint="eastAsia" w:ascii="宋体" w:hAnsi="宋体" w:cs="宋体"/>
          <w:sz w:val="24"/>
        </w:rPr>
      </w:pPr>
    </w:p>
    <w:p w14:paraId="0BFD5816">
      <w:pPr>
        <w:spacing w:line="460" w:lineRule="exact"/>
        <w:ind w:left="0" w:firstLine="0"/>
        <w:jc w:val="left"/>
        <w:rPr>
          <w:rFonts w:hint="eastAsia" w:ascii="宋体" w:hAnsi="宋体" w:cs="宋体"/>
          <w:sz w:val="24"/>
        </w:rPr>
      </w:pPr>
    </w:p>
    <w:p w14:paraId="0E0CDFD0">
      <w:pPr>
        <w:jc w:val="center"/>
        <w:rPr>
          <w:sz w:val="10"/>
          <w:szCs w:val="10"/>
        </w:rPr>
      </w:pPr>
    </w:p>
    <w:p w14:paraId="148B923C">
      <w:pPr>
        <w:keepNext w:val="0"/>
        <w:keepLines w:val="0"/>
        <w:pageBreakBefore w:val="0"/>
        <w:widowControl w:val="0"/>
        <w:kinsoku/>
        <w:wordWrap/>
        <w:overflowPunct/>
        <w:topLinePunct w:val="0"/>
        <w:autoSpaceDE/>
        <w:autoSpaceDN/>
        <w:bidi w:val="0"/>
        <w:adjustRightInd/>
        <w:snapToGrid/>
        <w:spacing w:line="240" w:lineRule="auto"/>
        <w:ind w:left="-634" w:leftChars="-302" w:firstLine="17" w:firstLineChars="0"/>
        <w:textAlignment w:val="auto"/>
        <w:rPr>
          <w:rFonts w:hint="default" w:eastAsia="方正仿宋_GB2312"/>
          <w:sz w:val="18"/>
          <w:szCs w:val="18"/>
          <w:lang w:val="en-US" w:eastAsia="zh-CN"/>
        </w:rPr>
      </w:pPr>
    </w:p>
    <w:sectPr>
      <w:footerReference r:id="rId3" w:type="default"/>
      <w:pgSz w:w="11906" w:h="16838"/>
      <w:pgMar w:top="1134" w:right="915" w:bottom="-45" w:left="1531" w:header="851" w:footer="158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F6FE44-C4A0-4702-9AF9-9B1D99E4CD4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4ECF962A-3A14-4BA2-A6CC-09C53FAAD580}"/>
  </w:font>
  <w:font w:name="仿宋">
    <w:panose1 w:val="02010609060101010101"/>
    <w:charset w:val="86"/>
    <w:family w:val="auto"/>
    <w:pitch w:val="default"/>
    <w:sig w:usb0="800002BF" w:usb1="38CF7CFA" w:usb2="00000016" w:usb3="00000000" w:csb0="00040001" w:csb1="00000000"/>
    <w:embedRegular r:id="rId3" w:fontKey="{968DC1D4-070B-4BF7-BB7D-5E95B4F55C2D}"/>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4D61D">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D0C3D"/>
    <w:rsid w:val="01F679D6"/>
    <w:rsid w:val="0275631F"/>
    <w:rsid w:val="04553B7B"/>
    <w:rsid w:val="05017C52"/>
    <w:rsid w:val="051672B7"/>
    <w:rsid w:val="054065A2"/>
    <w:rsid w:val="07E821C3"/>
    <w:rsid w:val="089B03BE"/>
    <w:rsid w:val="096B4234"/>
    <w:rsid w:val="0AB214C4"/>
    <w:rsid w:val="0B067D06"/>
    <w:rsid w:val="0B520287"/>
    <w:rsid w:val="0BB90B33"/>
    <w:rsid w:val="0C08536F"/>
    <w:rsid w:val="0C544D25"/>
    <w:rsid w:val="0D2070E4"/>
    <w:rsid w:val="0E1B0181"/>
    <w:rsid w:val="0FBF24B9"/>
    <w:rsid w:val="10831031"/>
    <w:rsid w:val="10B4201D"/>
    <w:rsid w:val="11117C22"/>
    <w:rsid w:val="124E2281"/>
    <w:rsid w:val="1380340D"/>
    <w:rsid w:val="13DF63FA"/>
    <w:rsid w:val="13E777DF"/>
    <w:rsid w:val="14232F24"/>
    <w:rsid w:val="153F5323"/>
    <w:rsid w:val="155A420A"/>
    <w:rsid w:val="157C1905"/>
    <w:rsid w:val="15E049F7"/>
    <w:rsid w:val="17DE762D"/>
    <w:rsid w:val="17E45D35"/>
    <w:rsid w:val="18776E14"/>
    <w:rsid w:val="191E0EFC"/>
    <w:rsid w:val="19C72DC1"/>
    <w:rsid w:val="1AF520A9"/>
    <w:rsid w:val="1BBA3983"/>
    <w:rsid w:val="1CA330F0"/>
    <w:rsid w:val="1CC201C3"/>
    <w:rsid w:val="1CC83145"/>
    <w:rsid w:val="1E5D4E74"/>
    <w:rsid w:val="1E6C3F37"/>
    <w:rsid w:val="1EBB30B7"/>
    <w:rsid w:val="1F805ED6"/>
    <w:rsid w:val="20072FCE"/>
    <w:rsid w:val="20B96608"/>
    <w:rsid w:val="212E4C57"/>
    <w:rsid w:val="21D01BBD"/>
    <w:rsid w:val="22A62BF5"/>
    <w:rsid w:val="240864B0"/>
    <w:rsid w:val="24C4040E"/>
    <w:rsid w:val="257858B7"/>
    <w:rsid w:val="2691661A"/>
    <w:rsid w:val="28060F58"/>
    <w:rsid w:val="28C220CF"/>
    <w:rsid w:val="29A27558"/>
    <w:rsid w:val="2A666B90"/>
    <w:rsid w:val="2B622BC3"/>
    <w:rsid w:val="2BD14D47"/>
    <w:rsid w:val="2BFE7FAE"/>
    <w:rsid w:val="2C3A1413"/>
    <w:rsid w:val="2C6A104F"/>
    <w:rsid w:val="2C735491"/>
    <w:rsid w:val="2D07248E"/>
    <w:rsid w:val="2D4A5D8B"/>
    <w:rsid w:val="2DEB6882"/>
    <w:rsid w:val="2E840E29"/>
    <w:rsid w:val="2F00500B"/>
    <w:rsid w:val="30775048"/>
    <w:rsid w:val="30D8545C"/>
    <w:rsid w:val="30F42CA4"/>
    <w:rsid w:val="31477A94"/>
    <w:rsid w:val="31A678EF"/>
    <w:rsid w:val="322C1F03"/>
    <w:rsid w:val="32C846D2"/>
    <w:rsid w:val="33870376"/>
    <w:rsid w:val="355F56FF"/>
    <w:rsid w:val="35B5656E"/>
    <w:rsid w:val="361F0930"/>
    <w:rsid w:val="36611E1B"/>
    <w:rsid w:val="36D12D83"/>
    <w:rsid w:val="37EB51E0"/>
    <w:rsid w:val="38C5370D"/>
    <w:rsid w:val="395307A7"/>
    <w:rsid w:val="397744D2"/>
    <w:rsid w:val="397F5278"/>
    <w:rsid w:val="39CF3B8B"/>
    <w:rsid w:val="3AC802EF"/>
    <w:rsid w:val="3B9A371F"/>
    <w:rsid w:val="3BF560D6"/>
    <w:rsid w:val="3C3E4D0D"/>
    <w:rsid w:val="3D7B0403"/>
    <w:rsid w:val="3E9A2ABD"/>
    <w:rsid w:val="3EB21746"/>
    <w:rsid w:val="3EEE377A"/>
    <w:rsid w:val="3EFB5137"/>
    <w:rsid w:val="422D5697"/>
    <w:rsid w:val="42471FC7"/>
    <w:rsid w:val="42D46193"/>
    <w:rsid w:val="42F32F5F"/>
    <w:rsid w:val="438E1CD7"/>
    <w:rsid w:val="44415D32"/>
    <w:rsid w:val="44806DAC"/>
    <w:rsid w:val="45290E8B"/>
    <w:rsid w:val="45711446"/>
    <w:rsid w:val="457E350F"/>
    <w:rsid w:val="45F37AA6"/>
    <w:rsid w:val="46B004B3"/>
    <w:rsid w:val="46C83A3C"/>
    <w:rsid w:val="46F030A7"/>
    <w:rsid w:val="471630D1"/>
    <w:rsid w:val="473274E6"/>
    <w:rsid w:val="48A73C3A"/>
    <w:rsid w:val="49011143"/>
    <w:rsid w:val="49962558"/>
    <w:rsid w:val="4B251CD7"/>
    <w:rsid w:val="4B7671B5"/>
    <w:rsid w:val="4C461564"/>
    <w:rsid w:val="4CB66B41"/>
    <w:rsid w:val="4CE463BB"/>
    <w:rsid w:val="4DB452FB"/>
    <w:rsid w:val="4E6A08AC"/>
    <w:rsid w:val="4E6D07B2"/>
    <w:rsid w:val="4FB14184"/>
    <w:rsid w:val="502236FD"/>
    <w:rsid w:val="519677EB"/>
    <w:rsid w:val="52602879"/>
    <w:rsid w:val="526D7199"/>
    <w:rsid w:val="52AD46A7"/>
    <w:rsid w:val="52C51310"/>
    <w:rsid w:val="534503E8"/>
    <w:rsid w:val="53C8142E"/>
    <w:rsid w:val="54D12FF9"/>
    <w:rsid w:val="568775F3"/>
    <w:rsid w:val="5704643D"/>
    <w:rsid w:val="572D0E82"/>
    <w:rsid w:val="577D6F10"/>
    <w:rsid w:val="57B32A7B"/>
    <w:rsid w:val="57F10A2D"/>
    <w:rsid w:val="581D0604"/>
    <w:rsid w:val="59486761"/>
    <w:rsid w:val="5AE833B5"/>
    <w:rsid w:val="5BD82630"/>
    <w:rsid w:val="5CA95D7B"/>
    <w:rsid w:val="5CD04860"/>
    <w:rsid w:val="5DB91FED"/>
    <w:rsid w:val="5E142A45"/>
    <w:rsid w:val="5E736640"/>
    <w:rsid w:val="5E7F563D"/>
    <w:rsid w:val="5EAA1715"/>
    <w:rsid w:val="5EDA221B"/>
    <w:rsid w:val="60953294"/>
    <w:rsid w:val="611067B7"/>
    <w:rsid w:val="637442A0"/>
    <w:rsid w:val="64416450"/>
    <w:rsid w:val="654A7F9C"/>
    <w:rsid w:val="66F75934"/>
    <w:rsid w:val="68552CA8"/>
    <w:rsid w:val="69173DDB"/>
    <w:rsid w:val="69D513B1"/>
    <w:rsid w:val="6A567A77"/>
    <w:rsid w:val="6B1663E9"/>
    <w:rsid w:val="6CF0716A"/>
    <w:rsid w:val="6D3971A8"/>
    <w:rsid w:val="6E4B2F23"/>
    <w:rsid w:val="6E510020"/>
    <w:rsid w:val="6FA17688"/>
    <w:rsid w:val="712D3A56"/>
    <w:rsid w:val="71517943"/>
    <w:rsid w:val="718D4D8C"/>
    <w:rsid w:val="71AA3CCF"/>
    <w:rsid w:val="75562A5E"/>
    <w:rsid w:val="75894543"/>
    <w:rsid w:val="75CE5DE3"/>
    <w:rsid w:val="76CB57F1"/>
    <w:rsid w:val="76D215EA"/>
    <w:rsid w:val="77517378"/>
    <w:rsid w:val="77876623"/>
    <w:rsid w:val="78BB0EB8"/>
    <w:rsid w:val="7C3D122F"/>
    <w:rsid w:val="7C7310AD"/>
    <w:rsid w:val="7DD00A7F"/>
    <w:rsid w:val="7FC05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fe5b3b3b-7b0e-4305-b3c9-b51669b675f3</errorID>
      <errorWord>招投标</errorWord>
      <group>L1_AI</group>
      <groupName>深度校对</groupName>
      <ability>L2_AI_Word</ability>
      <abilityName>字词纠错</abilityName>
      <candidateList>
        <item>招标投标</item>
      </candidateList>
      <explain/>
      <paraID>13EDC5A6</paraID>
      <start>56</start>
      <end>59</end>
      <status>unmodified</status>
      <modifiedWord/>
      <trackRevisions>false</trackRevisions>
    </reviewItem>
    <reviewItem>
      <errorID>2fad4cf3-959d-4e27-8061-79cb70ce4773</errorID>
      <errorWord>。？</errorWord>
      <group>L1_Punc</group>
      <groupName>标点问题</groupName>
      <ability>L2_Punc</ability>
      <abilityName>标点符号检查</abilityName>
      <candidateList>
        <item>。</item>
      </candidateList>
      <explain/>
      <paraID>3C1A1D62</paraID>
      <start>199</start>
      <end>201</end>
      <status>unmodified</status>
      <modifiedWord/>
      <trackRevisions>false</trackRevisions>
    </reviewItem>
    <reviewItem>
      <errorID>6bfa3695-06af-41e6-bdc4-8e86e51900cf</errorID>
      <errorWord> </errorWord>
      <group>L1_AI</group>
      <groupName>深度校对</groupName>
      <ability>L2_AI_Punc</ability>
      <abilityName>标点纠错</abilityName>
      <candidateList>
        <item/>
      </candidateList>
      <explain>此处空格冗余，建议删除。</explain>
      <paraID>64466AF9</paraID>
      <start>58</start>
      <end>59</end>
      <status>unmodified</status>
      <modifiedWord/>
      <trackRevisions>false</trackRevisions>
    </reviewItem>
    <reviewItem>
      <errorID>1e7800bc-140a-456b-83cb-87b31018c965</errorID>
      <errorWord>？</errorWord>
      <group>L1_AI</group>
      <groupName>深度校对</groupName>
      <ability>L2_AI_Punc</ability>
      <abilityName>标点纠错</abilityName>
      <candidateList>
        <item>。</item>
      </candidateList>
      <explain/>
      <paraID>64466AF9</paraID>
      <start>64</start>
      <end>65</end>
      <status>unmodified</status>
      <modifiedWord/>
      <trackRevisions>false</trackRevisions>
    </reviewItem>
    <reviewItem>
      <errorID>69b131aa-892f-43ed-a044-2db06e8215b4</errorID>
      <errorWord>第七条</errorWord>
      <group>L1_AI</group>
      <groupName>深度校对</groupName>
      <ability>L2_AI_Word</ability>
      <abilityName>字词纠错</abilityName>
      <candidateList>
        <item>第八条</item>
      </candidateList>
      <explain/>
      <paraID>64466AF9</paraID>
      <start>65</start>
      <end>68</end>
      <status>unmodified</status>
      <modifiedWord/>
      <trackRevisions>false</trackRevisions>
    </reviewItem>
    <reviewItem>
      <errorID>410e9b55-d854-44bd-969c-90e303504c69</errorID>
      <errorWord>采购</errorWord>
      <group>L1_AI</group>
      <groupName>深度校对</groupName>
      <ability>L2_AI_Punc</ability>
      <abilityName>标点纠错</abilityName>
      <candidateList>
        <item>、采购</item>
      </candidateList>
      <explain/>
      <paraID>37490AA4</paraID>
      <start>9</start>
      <end>11</end>
      <status>unmodified</status>
      <modifiedWord/>
      <trackRevisions>false</trackRevisions>
    </reviewItem>
    <reviewItem>
      <errorID>a6a0650d-fbec-488b-8604-ee64d23629d4</errorID>
      <errorWord>？</errorWord>
      <group>L1_AI</group>
      <groupName>深度校对</groupName>
      <ability>L2_AI_Punc</ability>
      <abilityName>标点纠错</abilityName>
      <candidateList>
        <item/>
      </candidateList>
      <explain/>
      <paraID>37490AA4</paraID>
      <start>18</start>
      <end>19</end>
      <status>unmodified</status>
      <modifiedWord/>
      <trackRevisions>false</trackRevisions>
    </reviewItem>
    <reviewItem>
      <errorID>2d793176-9ea9-4f45-ab52-8acb7bd27c3a</errorID>
      <errorWord>；</errorWord>
      <group>L1_AI</group>
      <groupName>深度校对</groupName>
      <ability>L2_AI_Punc</ability>
      <abilityName>标点纠错</abilityName>
      <candidateList>
        <item>。</item>
      </candidateList>
      <explain/>
      <paraID> CD7E80C</paraID>
      <start>45</start>
      <end>46</end>
      <status>unmodified</status>
      <modifiedWord/>
      <trackRevisions>false</trackRevisions>
    </reviewItem>
    <reviewItem>
      <errorID>8aba25d9-fe1a-43c1-b83d-bc8cd77dbee6</errorID>
      <errorWord>；</errorWord>
      <group>L1_AI</group>
      <groupName>深度校对</groupName>
      <ability>L2_AI_Punc</ability>
      <abilityName>标点纠错</abilityName>
      <candidateList>
        <item>。</item>
      </candidateList>
      <explain/>
      <paraID>668EF8EE</paraID>
      <start>53</start>
      <end>54</end>
      <status>unmodified</status>
      <modifiedWord/>
      <trackRevisions>false</trackRevisions>
    </reviewItem>
    <reviewItem>
      <errorID>24a8a1df-ea45-46d6-9494-45b2b250790c</errorID>
      <errorWord>；</errorWord>
      <group>L1_AI</group>
      <groupName>深度校对</groupName>
      <ability>L2_AI_Punc</ability>
      <abilityName>标点纠错</abilityName>
      <candidateList>
        <item>。</item>
      </candidateList>
      <explain/>
      <paraID>6751A696</paraID>
      <start>42</start>
      <end>43</end>
      <status>unmodified</status>
      <modifiedWord/>
      <trackRevisions>false</trackRevisions>
    </reviewItem>
    <reviewItem>
      <errorID>2bd3db20-8f02-4cf7-ac34-e26076308e0e</errorID>
      <errorWord>；</errorWord>
      <group>L1_AI</group>
      <groupName>深度校对</groupName>
      <ability>L2_AI_Punc</ability>
      <abilityName>标点纠错</abilityName>
      <candidateList>
        <item>。</item>
      </candidateList>
      <explain/>
      <paraID>3379D06F</paraID>
      <start>62</start>
      <end>63</end>
      <status>unmodified</status>
      <modifiedWord/>
      <trackRevisions>false</trackRevisions>
    </reviewItem>
    <reviewItem>
      <errorID>8d91eb3c-159b-4c35-90e7-ddefd7aa3c67</errorID>
      <errorWord>；</errorWord>
      <group>L1_AI</group>
      <groupName>深度校对</groupName>
      <ability>L2_AI_Punc</ability>
      <abilityName>标点纠错</abilityName>
      <candidateList>
        <item>。</item>
      </candidateList>
      <explain/>
      <paraID>33BE45B2</paraID>
      <start>43</start>
      <end>44</end>
      <status>unmodified</status>
      <modifiedWord/>
      <trackRevisions>false</trackRevisions>
    </reviewItem>
    <reviewItem>
      <errorID>ff6afc59-6a89-4f77-84fc-132ed792996d</errorID>
      <errorWord>，</errorWord>
      <group>L1_AI</group>
      <groupName>深度校对</groupName>
      <ability>L2_AI_Punc</ability>
      <abilityName>标点纠错</abilityName>
      <candidateList>
        <item>。</item>
      </candidateList>
      <explain/>
      <paraID>53BD6805</paraID>
      <start>42</start>
      <end>43</end>
      <status>unmodified</status>
      <modifiedWord/>
      <trackRevisions>false</trackRevisions>
    </reviewItem>
    <reviewItem>
      <errorID>cfa99828-2f0d-493e-9d47-23b9f3ab1e6e</errorID>
      <errorWord>；</errorWord>
      <group>L1_AI</group>
      <groupName>深度校对</groupName>
      <ability>L2_AI_Punc</ability>
      <abilityName>标点纠错</abilityName>
      <candidateList>
        <item>。</item>
      </candidateList>
      <explain/>
      <paraID>53BD6805</paraID>
      <start>72</start>
      <end>73</end>
      <status>unmodified</status>
      <modifiedWord/>
      <trackRevisions>false</trackRevisions>
    </reviewItem>
    <reviewItem>
      <errorID>057700b4-fba8-4ba8-98bf-4c2d283ced9b</errorID>
      <errorWord>，</errorWord>
      <group>L1_AI</group>
      <groupName>深度校对</groupName>
      <ability>L2_AI_Punc</ability>
      <abilityName>标点纠错</abilityName>
      <candidateList>
        <item>。</item>
      </candidateList>
      <explain/>
      <paraID> AEC25DD</paraID>
      <start>50</start>
      <end>51</end>
      <status>unmodified</status>
      <modifiedWord/>
      <trackRevisions>false</trackRevisions>
    </reviewItem>
    <reviewItem>
      <errorID>051637f7-b380-4de0-b242-2becde1f8e72</errorID>
      <errorWord>（</errorWord>
      <group>L1_Punc</group>
      <groupName>标点问题</groupName>
      <ability>L2_Punc</ability>
      <abilityName>标点符号检查</abilityName>
      <candidateList/>
      <explain>同一形式括号套用。</explain>
      <paraID>437A7867</paraID>
      <start>85</start>
      <end>86</end>
      <status>unmodified</status>
      <modifiedWord/>
      <trackRevisions>false</trackRevisions>
    </reviewItem>
    <reviewItem>
      <errorID>a5ef1e07-0032-4ffc-b0ac-f79d234a4b90</errorID>
      <errorWord>）</errorWord>
      <group>L1_Punc</group>
      <groupName>标点问题</groupName>
      <ability>L2_Punc</ability>
      <abilityName>标点符号检查</abilityName>
      <candidateList/>
      <explain>同一形式括号套用。</explain>
      <paraID>437A7867</paraID>
      <start>89</start>
      <end>90</end>
      <status>unmodified</status>
      <modifiedWord/>
      <trackRevisions>false</trackRevisions>
    </reviewItem>
    <reviewItem>
      <errorID>cee37a39-d33c-4337-b4ba-26174588a944</errorID>
      <errorWord>价格后</errorWord>
      <group>L1_AI</group>
      <groupName>深度校对</groupName>
      <ability>L2_AI_Word</ability>
      <abilityName>字词纠错</abilityName>
      <candidateList>
        <item>价格</item>
      </candidateList>
      <explain/>
      <paraID>437A7867</paraID>
      <start>135</start>
      <end>138</end>
      <status>unmodified</status>
      <modifiedWord/>
      <trackRevisions>false</trackRevisions>
    </reviewItem>
    <reviewItem>
      <errorID>a3694a45-09c1-424c-8fb9-8564b49aad9c</errorID>
      <errorWord>（</errorWord>
      <group>L1_Punc</group>
      <groupName>标点问题</groupName>
      <ability>L2_Punc</ability>
      <abilityName>标点符号检查</abilityName>
      <candidateList/>
      <explain>同一形式括号套用。</explain>
      <paraID>53D3527E</paraID>
      <start>51</start>
      <end>52</end>
      <status>unmodified</status>
      <modifiedWord/>
      <trackRevisions>false</trackRevisions>
    </reviewItem>
    <reviewItem>
      <errorID>e75b1846-55b3-4fca-ae7d-964f1fdcb969</errorID>
      <errorWord>）</errorWord>
      <group>L1_Punc</group>
      <groupName>标点问题</groupName>
      <ability>L2_Punc</ability>
      <abilityName>标点符号检查</abilityName>
      <candidateList/>
      <explain>同一形式括号套用。</explain>
      <paraID>53D3527E</paraID>
      <start>55</start>
      <end>56</end>
      <status>unmodified</status>
      <modifiedWord/>
      <trackRevisions>false</trackRevisions>
    </reviewItem>
    <reviewItem>
      <errorID>017ec219-e5c2-462f-a25e-2ef72a9faf4e</errorID>
      <errorWord>，</errorWord>
      <group>L1_AI</group>
      <groupName>深度校对</groupName>
      <ability>L2_AI_Punc</ability>
      <abilityName>标点纠错</abilityName>
      <candidateList>
        <item>。</item>
      </candidateList>
      <explain/>
      <paraID>53D3527E</paraID>
      <start>108</start>
      <end>109</end>
      <status>unmodified</status>
      <modifiedWord/>
      <trackRevisions>false</trackRevisions>
    </reviewItem>
    <reviewItem>
      <errorID>a5447370-d7b3-426d-b5e6-22a6f1a748a8</errorID>
      <errorWord>，</errorWord>
      <group>L1_AI</group>
      <groupName>深度校对</groupName>
      <ability>L2_AI_Punc</ability>
      <abilityName>标点纠错</abilityName>
      <candidateList>
        <item>。</item>
      </candidateList>
      <explain/>
      <paraID> E10A6E5</paraID>
      <start>59</start>
      <end>60</end>
      <status>unmodified</status>
      <modifiedWord/>
      <trackRevisions>false</trackRevisions>
    </reviewItem>
    <reviewItem>
      <errorID>55c86cb4-0618-4d04-96ae-2c75a66c8587</errorID>
      <errorWord>单数</errorWord>
      <group>L1_AI</group>
      <groupName>深度校对</groupName>
      <ability>L2_AI_Punc</ability>
      <abilityName>标点纠错</abilityName>
      <candidateList>
        <item>，单数</item>
      </candidateList>
      <explain/>
      <paraID> CF4419A</paraID>
      <start>35</start>
      <end>37</end>
      <status>unmodified</status>
      <modifiedWord/>
      <trackRevisions>false</trackRevisions>
    </reviewItem>
    <reviewItem>
      <errorID>44743814-be2b-43f7-899e-392a261e45f3</errorID>
      <errorWord>签定合同</errorWord>
      <group>L1_Word</group>
      <groupName>字词问题</groupName>
      <ability>L2_Typo</ability>
      <abilityName>字词错误</abilityName>
      <candidateList>
        <item>签订合同</item>
      </candidateList>
      <explain>存在发音相同字词的误用。</explain>
      <paraID>4CFB6E0D</paraID>
      <start>89</start>
      <end>93</end>
      <status>modified</status>
      <modifiedWord>签订合同</modifiedWord>
      <trackRevisions>false</trackRevisions>
    </reviewItem>
    <reviewItem>
      <errorID>3c5f85dc-47dc-456c-8542-e7d1b03a5713</errorID>
      <errorWord>学院货</errorWord>
      <group>L1_AI</group>
      <groupName>深度校对</groupName>
      <ability>L2_AI_Word</ability>
      <abilityName>字词纠错</abilityName>
      <candidateList>
        <item>学院</item>
      </candidateList>
      <explain/>
      <paraID>2B3FEA93</paraID>
      <start>71</start>
      <end>74</end>
      <status>unmodified</status>
      <modifiedWord/>
      <trackRevisions>false</trackRevisions>
    </reviewItem>
    <reviewItem>
      <errorID>2a30f0fe-cb9f-4fb5-9118-09f22e54ed2a</errorID>
      <errorWord>提供</errorWord>
      <group>L1_AI</group>
      <groupName>深度校对</groupName>
      <ability>L2_AI_Word</ability>
      <abilityName>字词纠错</abilityName>
      <candidateList>
        <item>有提供</item>
      </candidateList>
      <explain/>
      <paraID>70B78C5C</paraID>
      <start>9</start>
      <end>11</end>
      <status>unmodified</status>
      <modifiedWord/>
      <trackRevisions>false</trackRevisions>
    </reviewItem>
    <reviewItem>
      <errorID>ae21b42f-e02b-4935-ba63-be35037aa4f5</errorID>
      <errorWord>产品的</errorWord>
      <group>L1_AI</group>
      <groupName>深度校对</groupName>
      <ability>L2_AI_Word</ability>
      <abilityName>字词纠错</abilityName>
      <candidateList>
        <item>产品</item>
      </candidateList>
      <explain/>
      <paraID>70B78C5C</paraID>
      <start>23</start>
      <end>26</end>
      <status>unmodified</status>
      <modifiedWord/>
      <trackRevisions>false</trackRevisions>
    </reviewItem>
    <reviewItem>
      <errorID>cc2dbdd4-cd8c-4214-afa4-912144f1541b</errorID>
      <errorWord>供应商的</errorWord>
      <group>L1_AI</group>
      <groupName>深度校对</groupName>
      <ability>L2_AI_Word</ability>
      <abilityName>字词纠错</abilityName>
      <candidateList>
        <item>供应商</item>
      </candidateList>
      <explain/>
      <paraID>70B78C5C</paraID>
      <start>41</start>
      <end>45</end>
      <status>unmodified</status>
      <modifiedWord/>
      <trackRevisions>false</trackRevisions>
    </reviewItem>
    <reviewItem>
      <errorID>8ee1f545-ea17-4a96-953f-30fa3b8ca1a2</errorID>
      <errorWord>参与</errorWord>
      <group>L1_AI</group>
      <groupName>深度校对</groupName>
      <ability>L2_AI_Word</ability>
      <abilityName>字词纠错</abilityName>
      <candidateList>
        <item>其参与</item>
      </candidateList>
      <explain/>
      <paraID>70B78C5C</paraID>
      <start>79</start>
      <end>81</end>
      <status>unmodified</status>
      <modifiedWord/>
      <trackRevisions>false</trackRevisions>
    </reviewItem>
    <reviewItem>
      <errorID>9b66d3d3-7f93-4281-bb7c-4c71ca6b5d62</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72C78F0D</paraID>
      <start>77</start>
      <end>79</end>
      <status>unmodified</status>
      <modifiedWord/>
      <trackRevisions>false</trackRevisions>
    </reviewItem>
    <reviewItem>
      <errorID>d95328a3-08bd-40ad-82d9-603373fec8f3</errorID>
      <errorWord>涉及到</errorWord>
      <group>L1_Word</group>
      <groupName>字词问题</groupName>
      <ability>L2_Typo</ability>
      <abilityName>字词错误</abilityName>
      <candidateList>
        <item>涉及</item>
      </candidateList>
      <explain>〈动〉牵涉到；关联到：案子～好几个人｜这个问题～面很广。</explain>
      <paraID>560CF4ED</paraID>
      <start>7</start>
      <end>10</end>
      <status>unmodified</status>
      <modifiedWord/>
      <trackRevisions>false</trackRevisions>
    </reviewItem>
    <reviewItem>
      <errorID>3d175ee3-d552-4e55-b03e-b12e152890ea</errorID>
      <errorWord>涉及到</errorWord>
      <group>L1_Word</group>
      <groupName>字词问题</groupName>
      <ability>L2_Typo</ability>
      <abilityName>字词错误</abilityName>
      <candidateList>
        <item>涉及</item>
      </candidateList>
      <explain>〈动〉牵涉到；关联到：案子～好几个人｜这个问题～面很广。</explain>
      <paraID>560CF4ED</paraID>
      <start>55</start>
      <end>58</end>
      <status>unmodified</status>
      <modifiedWord/>
      <trackRevisions>false</trackRevisions>
    </reviewItem>
  </reviewItems>
  <config/>
</contractReview>
</file>

<file path=customXml/itemProps1.xml><?xml version="1.0" encoding="utf-8"?>
<ds:datastoreItem xmlns:ds="http://schemas.openxmlformats.org/officeDocument/2006/customXml" ds:itemID="{90ef8960-a862-446e-8adf-8ff26128bde7}">
  <ds:schemaRefs/>
</ds:datastoreItem>
</file>

<file path=docProps/app.xml><?xml version="1.0" encoding="utf-8"?>
<Properties xmlns="http://schemas.openxmlformats.org/officeDocument/2006/extended-properties" xmlns:vt="http://schemas.openxmlformats.org/officeDocument/2006/docPropsVTypes">
  <Template>Normal.dotm</Template>
  <Pages>5</Pages>
  <Words>731</Words>
  <Characters>765</Characters>
  <Lines>0</Lines>
  <Paragraphs>0</Paragraphs>
  <TotalTime>18</TotalTime>
  <ScaleCrop>false</ScaleCrop>
  <LinksUpToDate>false</LinksUpToDate>
  <CharactersWithSpaces>767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2025-04-17T13:12:00Z</dcterms:created>
  <dc:creator>13593</dc:creator>
  <cp:lastModifiedBy>岩哥是英才</cp:lastModifiedBy>
  <cp:lastPrinted>2026-10-20T07:54:00Z</cp:lastPrinted>
  <dcterms:modified xsi:type="dcterms:W3CDTF">2026-10-21T01:55:39Z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eyJoZGlkIjoiZGEyNDI4NDFhZmM3MDIzZWY2NzhlYTFhNjIxZDExZmMiLCJ1c2VySWQiOiI2OTEzMjY3MTEifQ==</vt:lpwstr>
  </property>
  <property fmtid="{D5CDD505-2E9C-101B-9397-08002B2CF9AE}" pid="4" name="ICV">
    <vt:lpwstr>0D9395CA9BA54FB0A2A3CF8492635B32_13</vt:lpwstr>
  </property>
</Properties>
</file>