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3AAC7">
      <w:pPr>
        <w:keepNext w:val="0"/>
        <w:keepLines w:val="0"/>
        <w:pageBreakBefore w:val="0"/>
        <w:widowControl/>
        <w:kinsoku/>
        <w:overflowPunct/>
        <w:topLinePunct w:val="0"/>
        <w:autoSpaceDE/>
        <w:autoSpaceDN/>
        <w:bidi w:val="0"/>
        <w:adjustRightInd/>
        <w:snapToGrid/>
        <w:spacing w:after="0" w:line="560" w:lineRule="exact"/>
        <w:jc w:val="center"/>
        <w:textAlignment w:val="auto"/>
      </w:pPr>
      <w:r>
        <w:rPr>
          <w:rFonts w:ascii="Times New Roman" w:hAnsi="Times New Roman" w:eastAsia="黑体"/>
          <w:b/>
          <w:sz w:val="36"/>
        </w:rPr>
        <w:t>南京师范大学中北学院</w:t>
      </w:r>
    </w:p>
    <w:p w14:paraId="2F121394">
      <w:pPr>
        <w:keepNext w:val="0"/>
        <w:keepLines w:val="0"/>
        <w:pageBreakBefore w:val="0"/>
        <w:widowControl/>
        <w:kinsoku/>
        <w:overflowPunct/>
        <w:topLinePunct w:val="0"/>
        <w:autoSpaceDE/>
        <w:autoSpaceDN/>
        <w:bidi w:val="0"/>
        <w:adjustRightInd/>
        <w:snapToGrid/>
        <w:spacing w:after="0" w:line="560" w:lineRule="exact"/>
        <w:jc w:val="center"/>
        <w:textAlignment w:val="auto"/>
        <w:rPr>
          <w:rFonts w:ascii="Times New Roman" w:hAnsi="Times New Roman" w:eastAsia="黑体"/>
          <w:b/>
          <w:sz w:val="36"/>
        </w:rPr>
      </w:pPr>
      <w:r>
        <w:rPr>
          <w:rFonts w:hint="eastAsia" w:eastAsia="黑体"/>
          <w:b/>
          <w:sz w:val="36"/>
          <w:lang w:val="en-US" w:eastAsia="zh-CN"/>
        </w:rPr>
        <w:t>生化类</w:t>
      </w:r>
      <w:r>
        <w:rPr>
          <w:rFonts w:ascii="Times New Roman" w:hAnsi="Times New Roman" w:eastAsia="黑体"/>
          <w:b/>
          <w:sz w:val="36"/>
        </w:rPr>
        <w:t>实验室安全应急演练训练营</w:t>
      </w:r>
    </w:p>
    <w:p w14:paraId="2987DCDF">
      <w:pPr>
        <w:keepNext w:val="0"/>
        <w:keepLines w:val="0"/>
        <w:pageBreakBefore w:val="0"/>
        <w:widowControl/>
        <w:kinsoku/>
        <w:overflowPunct/>
        <w:topLinePunct w:val="0"/>
        <w:autoSpaceDE/>
        <w:autoSpaceDN/>
        <w:bidi w:val="0"/>
        <w:adjustRightInd/>
        <w:snapToGrid/>
        <w:spacing w:after="0" w:line="560" w:lineRule="exact"/>
        <w:jc w:val="center"/>
        <w:textAlignment w:val="auto"/>
        <w:rPr>
          <w:rFonts w:ascii="Times New Roman" w:hAnsi="Times New Roman" w:eastAsia="黑体"/>
          <w:b/>
          <w:sz w:val="36"/>
        </w:rPr>
      </w:pPr>
      <w:r>
        <w:rPr>
          <w:rFonts w:ascii="Times New Roman" w:hAnsi="Times New Roman" w:eastAsia="黑体"/>
          <w:b/>
          <w:sz w:val="36"/>
        </w:rPr>
        <w:t>服务项目采购项目需求</w:t>
      </w:r>
    </w:p>
    <w:p w14:paraId="57B3EE31">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rPr>
          <w:rFonts w:ascii="Times New Roman" w:hAnsi="Times New Roman" w:eastAsia="宋体"/>
          <w:b w:val="0"/>
          <w:sz w:val="24"/>
        </w:rPr>
      </w:pPr>
      <w:r>
        <w:rPr>
          <w:rFonts w:ascii="Times New Roman" w:hAnsi="Times New Roman" w:eastAsia="宋体"/>
          <w:b w:val="0"/>
          <w:sz w:val="24"/>
        </w:rPr>
        <w:t>为使实验人员熟知实验室安全事故发生后的正确应急处置程序和方法，减少人员伤亡和财产损失，普及应急与安全管理知识，提高实验人员风险防范意识和自救互救能力，采购人拟组织实验室安全应急演练训练营，采购活动策划、安全培训、演练执行与技术支持、模拟器材、广告物料及拍摄等一体化专业服务。活动采取</w:t>
      </w:r>
      <w:r>
        <w:rPr>
          <w:rFonts w:hint="eastAsia"/>
          <w:b w:val="0"/>
          <w:sz w:val="24"/>
          <w:lang w:eastAsia="zh-CN"/>
        </w:rPr>
        <w:t>“</w:t>
      </w:r>
      <w:r>
        <w:rPr>
          <w:rFonts w:ascii="Times New Roman" w:hAnsi="Times New Roman" w:eastAsia="宋体"/>
          <w:b w:val="0"/>
          <w:sz w:val="24"/>
        </w:rPr>
        <w:t>集中培训＋分组实景模拟演练＋专家点评互动＋总结</w:t>
      </w:r>
      <w:r>
        <w:rPr>
          <w:rFonts w:hint="eastAsia"/>
          <w:b w:val="0"/>
          <w:sz w:val="24"/>
          <w:lang w:eastAsia="zh-CN"/>
        </w:rPr>
        <w:t>”</w:t>
      </w:r>
      <w:r>
        <w:rPr>
          <w:rFonts w:ascii="Times New Roman" w:hAnsi="Times New Roman" w:eastAsia="宋体"/>
          <w:b w:val="0"/>
          <w:sz w:val="24"/>
        </w:rPr>
        <w:t>方式</w:t>
      </w:r>
      <w:r>
        <w:rPr>
          <w:rFonts w:hint="eastAsia"/>
          <w:b w:val="0"/>
          <w:sz w:val="24"/>
          <w:lang w:val="en-US" w:eastAsia="zh-CN"/>
        </w:rPr>
        <w:t>进行</w:t>
      </w:r>
      <w:r>
        <w:rPr>
          <w:rFonts w:ascii="Times New Roman" w:hAnsi="Times New Roman" w:eastAsia="宋体"/>
          <w:b w:val="0"/>
          <w:sz w:val="24"/>
        </w:rPr>
        <w:t>。活动</w:t>
      </w:r>
      <w:r>
        <w:rPr>
          <w:rFonts w:hint="eastAsia"/>
          <w:b w:val="0"/>
          <w:sz w:val="24"/>
          <w:lang w:val="en-US" w:eastAsia="zh-CN"/>
        </w:rPr>
        <w:t>规模</w:t>
      </w:r>
      <w:r>
        <w:rPr>
          <w:rFonts w:ascii="Times New Roman" w:hAnsi="Times New Roman" w:eastAsia="宋体"/>
          <w:b w:val="0"/>
          <w:sz w:val="24"/>
        </w:rPr>
        <w:t>约</w:t>
      </w:r>
      <w:r>
        <w:rPr>
          <w:rFonts w:hint="eastAsia"/>
          <w:b w:val="0"/>
          <w:sz w:val="24"/>
          <w:lang w:val="en-US" w:eastAsia="zh-CN"/>
        </w:rPr>
        <w:t>2</w:t>
      </w:r>
      <w:r>
        <w:rPr>
          <w:rFonts w:ascii="Times New Roman" w:hAnsi="Times New Roman" w:eastAsia="宋体"/>
          <w:b w:val="0"/>
          <w:sz w:val="24"/>
        </w:rPr>
        <w:t>00人。</w:t>
      </w:r>
    </w:p>
    <w:p w14:paraId="7FFBE85C">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rPr>
          <w:rFonts w:ascii="Times New Roman" w:hAnsi="Times New Roman" w:eastAsia="宋体"/>
          <w:b w:val="0"/>
          <w:sz w:val="24"/>
        </w:rPr>
      </w:pPr>
      <w:r>
        <w:rPr>
          <w:rFonts w:hint="eastAsia"/>
          <w:b w:val="0"/>
          <w:sz w:val="24"/>
          <w:lang w:val="en-US" w:eastAsia="zh-CN"/>
        </w:rPr>
        <w:t>1.</w:t>
      </w:r>
      <w:r>
        <w:rPr>
          <w:rFonts w:ascii="Times New Roman" w:hAnsi="Times New Roman" w:eastAsia="宋体"/>
          <w:b w:val="0"/>
          <w:sz w:val="24"/>
        </w:rPr>
        <w:t>演练器材及物资配置要求</w:t>
      </w:r>
    </w:p>
    <w:p w14:paraId="3A20E5EA">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ascii="Times New Roman" w:hAnsi="Times New Roman" w:eastAsia="宋体"/>
          <w:b w:val="0"/>
          <w:sz w:val="24"/>
        </w:rPr>
        <w:t>演练所需器材物资</w:t>
      </w:r>
      <w:r>
        <w:rPr>
          <w:rFonts w:hint="eastAsia"/>
          <w:b w:val="0"/>
          <w:sz w:val="24"/>
          <w:lang w:val="en-US" w:eastAsia="zh-CN"/>
        </w:rPr>
        <w:t>由</w:t>
      </w:r>
      <w:r>
        <w:rPr>
          <w:rFonts w:ascii="Times New Roman" w:hAnsi="Times New Roman" w:eastAsia="宋体"/>
          <w:b w:val="0"/>
          <w:sz w:val="24"/>
        </w:rPr>
        <w:t>成交供应商负责配备</w:t>
      </w:r>
      <w:r>
        <w:rPr>
          <w:rFonts w:hint="eastAsia"/>
          <w:b w:val="0"/>
          <w:sz w:val="24"/>
          <w:lang w:val="en-US" w:eastAsia="zh-CN"/>
        </w:rPr>
        <w:t>回收</w:t>
      </w:r>
      <w:r>
        <w:rPr>
          <w:rFonts w:ascii="Times New Roman" w:hAnsi="Times New Roman" w:eastAsia="宋体"/>
          <w:b w:val="0"/>
          <w:sz w:val="24"/>
        </w:rPr>
        <w:t>。</w:t>
      </w:r>
      <w:r>
        <w:rPr>
          <w:rFonts w:hint="eastAsia"/>
          <w:b w:val="0"/>
          <w:sz w:val="24"/>
          <w:lang w:val="en-US" w:eastAsia="zh-CN"/>
        </w:rPr>
        <w:t>器材物资包括但不限于化学防护用品、试剂耗材、消防器材等，</w:t>
      </w:r>
      <w:r>
        <w:rPr>
          <w:rFonts w:ascii="Times New Roman" w:hAnsi="Times New Roman" w:eastAsia="宋体"/>
          <w:b w:val="0"/>
          <w:sz w:val="24"/>
        </w:rPr>
        <w:t>器材物资应符合国家、行业相关标准且在有效使用（保质）期限内；本项目不指定品牌，可选用同等或优于下列技术要求的合格产品。</w:t>
      </w:r>
    </w:p>
    <w:p w14:paraId="66813708">
      <w:pPr>
        <w:keepNext w:val="0"/>
        <w:keepLines w:val="0"/>
        <w:pageBreakBefore w:val="0"/>
        <w:widowControl/>
        <w:numPr>
          <w:ilvl w:val="0"/>
          <w:numId w:val="7"/>
        </w:numPr>
        <w:kinsoku/>
        <w:overflowPunct/>
        <w:topLinePunct w:val="0"/>
        <w:autoSpaceDE/>
        <w:autoSpaceDN/>
        <w:bidi w:val="0"/>
        <w:adjustRightInd/>
        <w:snapToGrid/>
        <w:spacing w:after="0" w:line="560" w:lineRule="exact"/>
        <w:ind w:firstLine="480" w:firstLineChars="200"/>
        <w:jc w:val="both"/>
        <w:textAlignment w:val="auto"/>
        <w:rPr>
          <w:rFonts w:hint="eastAsia"/>
          <w:b w:val="0"/>
          <w:sz w:val="24"/>
          <w:lang w:val="en-US" w:eastAsia="zh-CN"/>
        </w:rPr>
      </w:pPr>
      <w:r>
        <w:rPr>
          <w:rFonts w:ascii="Times New Roman" w:hAnsi="Times New Roman" w:eastAsia="宋体"/>
          <w:b w:val="0"/>
          <w:sz w:val="24"/>
        </w:rPr>
        <w:t>服务内容</w:t>
      </w:r>
      <w:r>
        <w:rPr>
          <w:rFonts w:hint="eastAsia"/>
          <w:b w:val="0"/>
          <w:sz w:val="24"/>
          <w:lang w:val="en-US" w:eastAsia="zh-CN"/>
        </w:rPr>
        <w:t>及预算</w:t>
      </w:r>
    </w:p>
    <w:p w14:paraId="378ACFDE">
      <w:pPr>
        <w:keepNext w:val="0"/>
        <w:keepLines w:val="0"/>
        <w:pageBreakBefore w:val="0"/>
        <w:widowControl/>
        <w:numPr>
          <w:numId w:val="0"/>
        </w:numPr>
        <w:kinsoku/>
        <w:overflowPunct/>
        <w:topLinePunct w:val="0"/>
        <w:autoSpaceDE/>
        <w:autoSpaceDN/>
        <w:bidi w:val="0"/>
        <w:adjustRightInd/>
        <w:snapToGrid/>
        <w:spacing w:after="0" w:line="560" w:lineRule="exact"/>
        <w:ind w:firstLine="480" w:firstLineChars="200"/>
        <w:jc w:val="both"/>
        <w:textAlignment w:val="auto"/>
        <w:rPr>
          <w:rFonts w:hint="default"/>
          <w:b w:val="0"/>
          <w:sz w:val="24"/>
          <w:lang w:val="en-US" w:eastAsia="zh-CN"/>
        </w:rPr>
      </w:pPr>
      <w:r>
        <w:rPr>
          <w:rFonts w:hint="eastAsia"/>
          <w:b w:val="0"/>
          <w:sz w:val="24"/>
          <w:lang w:val="en-US" w:eastAsia="zh-CN"/>
        </w:rPr>
        <w:t>项目预算： 25000元人民币</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2100"/>
        <w:gridCol w:w="3060"/>
      </w:tblGrid>
      <w:tr w14:paraId="1168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89" w:type="dxa"/>
            <w:shd w:val="clear" w:color="auto" w:fill="D9E2F3"/>
            <w:vAlign w:val="center"/>
          </w:tcPr>
          <w:p w14:paraId="6461E779">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sz w:val="21"/>
                <w:szCs w:val="21"/>
              </w:rPr>
            </w:pPr>
            <w:r>
              <w:rPr>
                <w:rFonts w:ascii="Times New Roman" w:hAnsi="Times New Roman" w:eastAsia="黑体"/>
                <w:b/>
                <w:sz w:val="21"/>
                <w:szCs w:val="21"/>
              </w:rPr>
              <w:t>序号</w:t>
            </w:r>
          </w:p>
        </w:tc>
        <w:tc>
          <w:tcPr>
            <w:tcW w:w="2100" w:type="dxa"/>
            <w:shd w:val="clear" w:color="auto" w:fill="D9E2F3"/>
            <w:vAlign w:val="center"/>
          </w:tcPr>
          <w:p w14:paraId="2F9BB0E1">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sz w:val="21"/>
                <w:szCs w:val="21"/>
              </w:rPr>
            </w:pPr>
            <w:r>
              <w:rPr>
                <w:rFonts w:ascii="Times New Roman" w:hAnsi="Times New Roman" w:eastAsia="黑体"/>
                <w:b/>
                <w:sz w:val="21"/>
                <w:szCs w:val="21"/>
              </w:rPr>
              <w:t>项目名称</w:t>
            </w:r>
          </w:p>
        </w:tc>
        <w:tc>
          <w:tcPr>
            <w:tcW w:w="3060" w:type="dxa"/>
            <w:shd w:val="clear" w:color="auto" w:fill="D9E2F3"/>
            <w:vAlign w:val="center"/>
          </w:tcPr>
          <w:p w14:paraId="086EEC23">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sz w:val="21"/>
                <w:szCs w:val="21"/>
              </w:rPr>
            </w:pPr>
            <w:r>
              <w:rPr>
                <w:rFonts w:ascii="Times New Roman" w:hAnsi="Times New Roman" w:eastAsia="黑体"/>
                <w:b/>
                <w:sz w:val="21"/>
                <w:szCs w:val="21"/>
              </w:rPr>
              <w:t>服务内容</w:t>
            </w:r>
          </w:p>
        </w:tc>
      </w:tr>
      <w:tr w14:paraId="424F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18E3278">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sz w:val="21"/>
                <w:szCs w:val="21"/>
              </w:rPr>
            </w:pPr>
            <w:r>
              <w:rPr>
                <w:rFonts w:ascii="Times New Roman" w:hAnsi="Times New Roman" w:eastAsia="宋体"/>
                <w:b w:val="0"/>
                <w:sz w:val="21"/>
                <w:szCs w:val="21"/>
              </w:rPr>
              <w:t>1</w:t>
            </w:r>
          </w:p>
        </w:tc>
        <w:tc>
          <w:tcPr>
            <w:tcW w:w="2100" w:type="dxa"/>
            <w:vAlign w:val="center"/>
          </w:tcPr>
          <w:p w14:paraId="073B251E">
            <w:pPr>
              <w:keepNext w:val="0"/>
              <w:keepLines w:val="0"/>
              <w:pageBreakBefore w:val="0"/>
              <w:widowControl/>
              <w:kinsoku/>
              <w:wordWrap/>
              <w:overflowPunct/>
              <w:topLinePunct w:val="0"/>
              <w:autoSpaceDE/>
              <w:autoSpaceDN/>
              <w:bidi w:val="0"/>
              <w:adjustRightInd/>
              <w:snapToGrid/>
              <w:spacing w:after="0" w:line="240" w:lineRule="auto"/>
              <w:ind w:firstLine="0" w:firstLineChars="0"/>
              <w:jc w:val="both"/>
              <w:textAlignment w:val="auto"/>
              <w:rPr>
                <w:sz w:val="21"/>
                <w:szCs w:val="21"/>
              </w:rPr>
            </w:pPr>
            <w:r>
              <w:rPr>
                <w:rFonts w:ascii="Times New Roman" w:hAnsi="Times New Roman" w:eastAsia="宋体"/>
                <w:b w:val="0"/>
                <w:sz w:val="21"/>
                <w:szCs w:val="21"/>
              </w:rPr>
              <w:t>活动策划与方案设计</w:t>
            </w:r>
          </w:p>
        </w:tc>
        <w:tc>
          <w:tcPr>
            <w:tcW w:w="3060" w:type="dxa"/>
            <w:vAlign w:val="center"/>
          </w:tcPr>
          <w:p w14:paraId="7F78D4CA">
            <w:pPr>
              <w:keepNext w:val="0"/>
              <w:keepLines w:val="0"/>
              <w:pageBreakBefore w:val="0"/>
              <w:widowControl/>
              <w:kinsoku/>
              <w:wordWrap/>
              <w:overflowPunct/>
              <w:topLinePunct w:val="0"/>
              <w:autoSpaceDE/>
              <w:autoSpaceDN/>
              <w:bidi w:val="0"/>
              <w:adjustRightInd/>
              <w:snapToGrid/>
              <w:spacing w:after="0" w:line="240" w:lineRule="auto"/>
              <w:ind w:firstLine="0" w:firstLineChars="0"/>
              <w:jc w:val="both"/>
              <w:textAlignment w:val="auto"/>
              <w:rPr>
                <w:sz w:val="21"/>
                <w:szCs w:val="21"/>
              </w:rPr>
            </w:pPr>
            <w:r>
              <w:rPr>
                <w:rFonts w:ascii="Times New Roman" w:hAnsi="Times New Roman" w:eastAsia="宋体"/>
                <w:b w:val="0"/>
                <w:sz w:val="21"/>
                <w:szCs w:val="21"/>
              </w:rPr>
              <w:t>需求调研、风险评估、定制化演练脚本/情景设计、流程规划、人员角色分配、方案撰写与优化。</w:t>
            </w:r>
          </w:p>
        </w:tc>
      </w:tr>
      <w:tr w14:paraId="2E4F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0B995C5">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sz w:val="21"/>
                <w:szCs w:val="21"/>
              </w:rPr>
            </w:pPr>
            <w:r>
              <w:rPr>
                <w:rFonts w:ascii="Times New Roman" w:hAnsi="Times New Roman" w:eastAsia="宋体"/>
                <w:b w:val="0"/>
                <w:sz w:val="21"/>
                <w:szCs w:val="21"/>
              </w:rPr>
              <w:t>2</w:t>
            </w:r>
          </w:p>
        </w:tc>
        <w:tc>
          <w:tcPr>
            <w:tcW w:w="2100" w:type="dxa"/>
            <w:vAlign w:val="center"/>
          </w:tcPr>
          <w:p w14:paraId="362FE5E4">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sz w:val="21"/>
                <w:szCs w:val="21"/>
              </w:rPr>
            </w:pPr>
            <w:r>
              <w:rPr>
                <w:rFonts w:ascii="Times New Roman" w:hAnsi="Times New Roman" w:eastAsia="宋体"/>
                <w:b w:val="0"/>
                <w:sz w:val="21"/>
                <w:szCs w:val="21"/>
              </w:rPr>
              <w:t>安全培训</w:t>
            </w:r>
          </w:p>
        </w:tc>
        <w:tc>
          <w:tcPr>
            <w:tcW w:w="3060" w:type="dxa"/>
            <w:vAlign w:val="center"/>
          </w:tcPr>
          <w:p w14:paraId="1FD06A0F">
            <w:pPr>
              <w:keepNext w:val="0"/>
              <w:keepLines w:val="0"/>
              <w:pageBreakBefore w:val="0"/>
              <w:widowControl/>
              <w:kinsoku/>
              <w:wordWrap/>
              <w:overflowPunct/>
              <w:topLinePunct w:val="0"/>
              <w:autoSpaceDE/>
              <w:autoSpaceDN/>
              <w:bidi w:val="0"/>
              <w:adjustRightInd/>
              <w:snapToGrid/>
              <w:spacing w:after="0" w:line="240" w:lineRule="auto"/>
              <w:ind w:firstLine="0" w:firstLineChars="0"/>
              <w:jc w:val="both"/>
              <w:textAlignment w:val="auto"/>
              <w:rPr>
                <w:sz w:val="21"/>
                <w:szCs w:val="21"/>
              </w:rPr>
            </w:pPr>
            <w:r>
              <w:rPr>
                <w:rFonts w:ascii="Times New Roman" w:hAnsi="Times New Roman" w:eastAsia="宋体"/>
                <w:b w:val="0"/>
                <w:sz w:val="21"/>
                <w:szCs w:val="21"/>
              </w:rPr>
              <w:t>安全知识、应急预案、设备使用、实操技能培训（个人防护服穿戴等）、演练现场指挥与指导。</w:t>
            </w:r>
          </w:p>
        </w:tc>
      </w:tr>
      <w:tr w14:paraId="2BF6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1818024A">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sz w:val="21"/>
                <w:szCs w:val="21"/>
              </w:rPr>
            </w:pPr>
            <w:r>
              <w:rPr>
                <w:rFonts w:ascii="Times New Roman" w:hAnsi="Times New Roman" w:eastAsia="宋体"/>
                <w:b w:val="0"/>
                <w:sz w:val="21"/>
                <w:szCs w:val="21"/>
              </w:rPr>
              <w:t>3</w:t>
            </w:r>
          </w:p>
        </w:tc>
        <w:tc>
          <w:tcPr>
            <w:tcW w:w="2100" w:type="dxa"/>
            <w:vAlign w:val="center"/>
          </w:tcPr>
          <w:p w14:paraId="7F4EBC30">
            <w:pPr>
              <w:keepNext w:val="0"/>
              <w:keepLines w:val="0"/>
              <w:pageBreakBefore w:val="0"/>
              <w:widowControl/>
              <w:kinsoku/>
              <w:wordWrap/>
              <w:overflowPunct/>
              <w:topLinePunct w:val="0"/>
              <w:autoSpaceDE/>
              <w:autoSpaceDN/>
              <w:bidi w:val="0"/>
              <w:adjustRightInd/>
              <w:snapToGrid/>
              <w:spacing w:after="0" w:line="240" w:lineRule="auto"/>
              <w:ind w:firstLine="0" w:firstLineChars="0"/>
              <w:jc w:val="both"/>
              <w:textAlignment w:val="auto"/>
              <w:rPr>
                <w:sz w:val="21"/>
                <w:szCs w:val="21"/>
              </w:rPr>
            </w:pPr>
            <w:r>
              <w:rPr>
                <w:rFonts w:ascii="Times New Roman" w:hAnsi="Times New Roman" w:eastAsia="宋体"/>
                <w:b w:val="0"/>
                <w:sz w:val="21"/>
                <w:szCs w:val="21"/>
              </w:rPr>
              <w:t>演练执行与技术支持</w:t>
            </w:r>
          </w:p>
        </w:tc>
        <w:tc>
          <w:tcPr>
            <w:tcW w:w="3060" w:type="dxa"/>
            <w:vAlign w:val="center"/>
          </w:tcPr>
          <w:p w14:paraId="225633AE">
            <w:pPr>
              <w:keepNext w:val="0"/>
              <w:keepLines w:val="0"/>
              <w:pageBreakBefore w:val="0"/>
              <w:widowControl/>
              <w:kinsoku/>
              <w:wordWrap/>
              <w:overflowPunct/>
              <w:topLinePunct w:val="0"/>
              <w:autoSpaceDE/>
              <w:autoSpaceDN/>
              <w:bidi w:val="0"/>
              <w:adjustRightInd/>
              <w:snapToGrid/>
              <w:spacing w:after="0" w:line="240" w:lineRule="auto"/>
              <w:ind w:firstLine="0" w:firstLineChars="0"/>
              <w:jc w:val="both"/>
              <w:textAlignment w:val="auto"/>
              <w:rPr>
                <w:sz w:val="21"/>
                <w:szCs w:val="21"/>
              </w:rPr>
            </w:pPr>
            <w:r>
              <w:rPr>
                <w:rFonts w:ascii="Times New Roman" w:hAnsi="Times New Roman" w:eastAsia="宋体"/>
                <w:b w:val="0"/>
                <w:sz w:val="21"/>
                <w:szCs w:val="21"/>
              </w:rPr>
              <w:t>现场组织协调、流程控制、安全监护、模拟事故场景搭建。</w:t>
            </w:r>
          </w:p>
        </w:tc>
      </w:tr>
      <w:tr w14:paraId="387E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640496DB">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default" w:eastAsia="宋体"/>
                <w:sz w:val="21"/>
                <w:szCs w:val="21"/>
                <w:lang w:val="en-US" w:eastAsia="zh-CN"/>
              </w:rPr>
            </w:pPr>
            <w:r>
              <w:rPr>
                <w:rFonts w:hint="eastAsia"/>
                <w:sz w:val="21"/>
                <w:szCs w:val="21"/>
                <w:lang w:val="en-US" w:eastAsia="zh-CN"/>
              </w:rPr>
              <w:t>4</w:t>
            </w:r>
          </w:p>
        </w:tc>
        <w:tc>
          <w:tcPr>
            <w:tcW w:w="2100" w:type="dxa"/>
            <w:vAlign w:val="center"/>
          </w:tcPr>
          <w:p w14:paraId="7C31982F">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sz w:val="21"/>
                <w:szCs w:val="21"/>
              </w:rPr>
            </w:pPr>
            <w:r>
              <w:rPr>
                <w:rFonts w:ascii="Times New Roman" w:hAnsi="Times New Roman" w:eastAsia="宋体"/>
                <w:b w:val="0"/>
                <w:sz w:val="21"/>
                <w:szCs w:val="21"/>
              </w:rPr>
              <w:t>模拟器材</w:t>
            </w:r>
          </w:p>
        </w:tc>
        <w:tc>
          <w:tcPr>
            <w:tcW w:w="3060" w:type="dxa"/>
            <w:vAlign w:val="center"/>
          </w:tcPr>
          <w:p w14:paraId="683A4B64">
            <w:pPr>
              <w:keepNext w:val="0"/>
              <w:keepLines w:val="0"/>
              <w:pageBreakBefore w:val="0"/>
              <w:widowControl/>
              <w:kinsoku/>
              <w:wordWrap/>
              <w:overflowPunct/>
              <w:topLinePunct w:val="0"/>
              <w:autoSpaceDE/>
              <w:autoSpaceDN/>
              <w:bidi w:val="0"/>
              <w:adjustRightInd/>
              <w:snapToGrid/>
              <w:spacing w:after="0" w:line="240" w:lineRule="auto"/>
              <w:ind w:firstLine="0" w:firstLineChars="0"/>
              <w:jc w:val="both"/>
              <w:textAlignment w:val="auto"/>
              <w:rPr>
                <w:sz w:val="21"/>
                <w:szCs w:val="21"/>
              </w:rPr>
            </w:pPr>
            <w:r>
              <w:rPr>
                <w:rFonts w:ascii="Times New Roman" w:hAnsi="Times New Roman" w:eastAsia="宋体"/>
                <w:b w:val="0"/>
                <w:sz w:val="21"/>
                <w:szCs w:val="21"/>
              </w:rPr>
              <w:t>应急物品损耗、防护隔离、快递运输等。</w:t>
            </w:r>
          </w:p>
        </w:tc>
      </w:tr>
      <w:tr w14:paraId="6D22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9" w:type="dxa"/>
            <w:vAlign w:val="center"/>
          </w:tcPr>
          <w:p w14:paraId="0D1A7380">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eastAsia="宋体"/>
                <w:sz w:val="21"/>
                <w:szCs w:val="21"/>
                <w:lang w:val="en-US" w:eastAsia="zh-CN"/>
              </w:rPr>
            </w:pPr>
            <w:r>
              <w:rPr>
                <w:rFonts w:hint="eastAsia"/>
                <w:sz w:val="21"/>
                <w:szCs w:val="21"/>
                <w:lang w:val="en-US" w:eastAsia="zh-CN"/>
              </w:rPr>
              <w:t>5</w:t>
            </w:r>
          </w:p>
        </w:tc>
        <w:tc>
          <w:tcPr>
            <w:tcW w:w="2100" w:type="dxa"/>
            <w:vAlign w:val="center"/>
          </w:tcPr>
          <w:p w14:paraId="06B7B3B9">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sz w:val="21"/>
                <w:szCs w:val="21"/>
              </w:rPr>
            </w:pPr>
            <w:r>
              <w:rPr>
                <w:rFonts w:ascii="Times New Roman" w:hAnsi="Times New Roman" w:eastAsia="宋体"/>
                <w:b w:val="0"/>
                <w:sz w:val="21"/>
                <w:szCs w:val="21"/>
              </w:rPr>
              <w:t>广告物料</w:t>
            </w:r>
          </w:p>
        </w:tc>
        <w:tc>
          <w:tcPr>
            <w:tcW w:w="3060" w:type="dxa"/>
            <w:vAlign w:val="center"/>
          </w:tcPr>
          <w:p w14:paraId="5B314107">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sz w:val="21"/>
                <w:szCs w:val="21"/>
              </w:rPr>
            </w:pPr>
            <w:r>
              <w:rPr>
                <w:rFonts w:ascii="Times New Roman" w:hAnsi="Times New Roman" w:eastAsia="宋体"/>
                <w:b w:val="0"/>
                <w:sz w:val="21"/>
                <w:szCs w:val="21"/>
              </w:rPr>
              <w:t>签到处、场景卡、横幅。</w:t>
            </w:r>
          </w:p>
        </w:tc>
      </w:tr>
      <w:tr w14:paraId="5F6C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6147E7E0">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default" w:eastAsia="宋体"/>
                <w:sz w:val="21"/>
                <w:szCs w:val="21"/>
                <w:lang w:val="en-US" w:eastAsia="zh-CN"/>
              </w:rPr>
            </w:pPr>
            <w:r>
              <w:rPr>
                <w:rFonts w:hint="eastAsia"/>
                <w:sz w:val="21"/>
                <w:szCs w:val="21"/>
                <w:lang w:val="en-US" w:eastAsia="zh-CN"/>
              </w:rPr>
              <w:t>6</w:t>
            </w:r>
          </w:p>
        </w:tc>
        <w:tc>
          <w:tcPr>
            <w:tcW w:w="2100" w:type="dxa"/>
            <w:vAlign w:val="center"/>
          </w:tcPr>
          <w:p w14:paraId="5814B735">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sz w:val="21"/>
                <w:szCs w:val="21"/>
              </w:rPr>
            </w:pPr>
            <w:r>
              <w:rPr>
                <w:rFonts w:ascii="Times New Roman" w:hAnsi="Times New Roman" w:eastAsia="宋体"/>
                <w:b w:val="0"/>
                <w:sz w:val="21"/>
                <w:szCs w:val="21"/>
              </w:rPr>
              <w:t>拍摄</w:t>
            </w:r>
          </w:p>
        </w:tc>
        <w:tc>
          <w:tcPr>
            <w:tcW w:w="3060" w:type="dxa"/>
            <w:vAlign w:val="center"/>
          </w:tcPr>
          <w:p w14:paraId="12809B54">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sz w:val="21"/>
                <w:szCs w:val="21"/>
              </w:rPr>
            </w:pPr>
            <w:r>
              <w:rPr>
                <w:rFonts w:ascii="Times New Roman" w:hAnsi="Times New Roman" w:eastAsia="宋体"/>
                <w:b w:val="0"/>
                <w:sz w:val="21"/>
                <w:szCs w:val="21"/>
              </w:rPr>
              <w:t>双机位拍摄：照片＋视频。</w:t>
            </w:r>
          </w:p>
        </w:tc>
      </w:tr>
    </w:tbl>
    <w:p w14:paraId="2FAA4E11">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hint="eastAsia"/>
          <w:b w:val="0"/>
          <w:sz w:val="24"/>
          <w:lang w:val="en-US" w:eastAsia="zh-CN"/>
        </w:rPr>
        <w:t>3.</w:t>
      </w:r>
      <w:r>
        <w:rPr>
          <w:rFonts w:ascii="Times New Roman" w:hAnsi="Times New Roman" w:eastAsia="宋体"/>
          <w:b w:val="0"/>
          <w:sz w:val="24"/>
        </w:rPr>
        <w:t>服务成果及交付要求：</w:t>
      </w:r>
    </w:p>
    <w:p w14:paraId="4D664777">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ascii="Times New Roman" w:hAnsi="Times New Roman" w:eastAsia="宋体"/>
          <w:b w:val="0"/>
          <w:sz w:val="24"/>
        </w:rPr>
        <w:t>（1）提交活动方案、定制化演练脚本及事故情景资料（电子版，纸质版份数按合同约定），活动前一周提供事故触发场景及参考演练方案；</w:t>
      </w:r>
      <w:bookmarkStart w:id="0" w:name="_GoBack"/>
      <w:bookmarkEnd w:id="0"/>
    </w:p>
    <w:p w14:paraId="175C1F14">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ascii="Times New Roman" w:hAnsi="Times New Roman" w:eastAsia="宋体"/>
          <w:b w:val="0"/>
          <w:sz w:val="24"/>
        </w:rPr>
        <w:t>（2）完成现场安全培训及演练组织实施；</w:t>
      </w:r>
    </w:p>
    <w:p w14:paraId="2800B1E9">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ascii="Times New Roman" w:hAnsi="Times New Roman" w:eastAsia="宋体"/>
          <w:b w:val="0"/>
          <w:sz w:val="24"/>
        </w:rPr>
        <w:t>（3）交付活动照片（双机位拍摄，精修数量按合同约定）、全程视频及剪辑成片（分辨率不低于1080P）；</w:t>
      </w:r>
    </w:p>
    <w:p w14:paraId="5D26C8D3">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ascii="Times New Roman" w:hAnsi="Times New Roman" w:eastAsia="宋体"/>
          <w:b w:val="0"/>
          <w:sz w:val="24"/>
        </w:rPr>
        <w:t>（4）提供横幅、场景卡、签到处物料及急救药包；</w:t>
      </w:r>
    </w:p>
    <w:p w14:paraId="1C0CF137">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ascii="Times New Roman" w:hAnsi="Times New Roman" w:eastAsia="宋体"/>
          <w:b w:val="0"/>
          <w:sz w:val="24"/>
        </w:rPr>
        <w:t>（5）活动结束后约定期限内提交演练影像资料及活动小结。</w:t>
      </w:r>
    </w:p>
    <w:p w14:paraId="607F7EE1">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hint="eastAsia"/>
          <w:b w:val="0"/>
          <w:sz w:val="24"/>
          <w:lang w:val="en-US" w:eastAsia="zh-CN"/>
        </w:rPr>
        <w:t>4.</w:t>
      </w:r>
      <w:r>
        <w:rPr>
          <w:rFonts w:ascii="Times New Roman" w:hAnsi="Times New Roman" w:eastAsia="宋体"/>
          <w:b w:val="0"/>
          <w:sz w:val="24"/>
        </w:rPr>
        <w:t>工作要求：</w:t>
      </w:r>
    </w:p>
    <w:p w14:paraId="3771A1BD">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ascii="Times New Roman" w:hAnsi="Times New Roman" w:eastAsia="宋体"/>
          <w:b w:val="0"/>
          <w:sz w:val="24"/>
        </w:rPr>
        <w:t>（1）供应商应配备具有相关专业背景和应急演练经验的项目负责人、培训讲师及技术、拍摄人员，投标（响应）时明确到人，人员名单报采购人备案；未经采购人同意不得随意更换。</w:t>
      </w:r>
    </w:p>
    <w:p w14:paraId="112099F2">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ascii="Times New Roman" w:hAnsi="Times New Roman" w:eastAsia="宋体"/>
          <w:b w:val="0"/>
          <w:sz w:val="24"/>
        </w:rPr>
        <w:t>（2）供应商派出人员须接受采购人安排，按规定时间完成演练脚本、培训、现场组织及保障任务，演练结束后及时移交相关纸质和电子资料，不得将参与本项目获取的信息用于其他用途。</w:t>
      </w:r>
    </w:p>
    <w:p w14:paraId="0B45C5F5">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ascii="Times New Roman" w:hAnsi="Times New Roman" w:eastAsia="宋体"/>
          <w:b w:val="0"/>
          <w:sz w:val="24"/>
        </w:rPr>
        <w:t>（3）演练所用模拟道具应安全可控，涉及烟饼等动火环节须采取防火措施并经采购人同意；供应商对其工作人员及自带器材的安全负责，服从采购人现场管理。</w:t>
      </w:r>
    </w:p>
    <w:p w14:paraId="0EF9120B">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ascii="Times New Roman" w:hAnsi="Times New Roman" w:eastAsia="宋体"/>
          <w:b w:val="0"/>
          <w:sz w:val="24"/>
        </w:rPr>
        <w:t>（4）供应商应依法与派出人员签订劳动合同、办理社会保险；派出人员的劳资、工伤等纠纷由供应商承担，采购人不承担相关费用。</w:t>
      </w:r>
    </w:p>
    <w:p w14:paraId="766DB78D">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hint="eastAsia"/>
          <w:b w:val="0"/>
          <w:sz w:val="24"/>
          <w:lang w:val="en-US" w:eastAsia="zh-CN"/>
        </w:rPr>
        <w:t>5.</w:t>
      </w:r>
      <w:r>
        <w:rPr>
          <w:rFonts w:ascii="Times New Roman" w:hAnsi="Times New Roman" w:eastAsia="宋体"/>
          <w:b w:val="0"/>
          <w:sz w:val="24"/>
        </w:rPr>
        <w:t>供应商报价为含税全包价，包括为完成本项目提供服务的一切费用，含各种成本、税金、费用和利润、人员工资、差旅、器材及损耗、礼品、物料、运输、拍摄等以及合同包含的风险、责任等各项应有费用，采购人不再支付报价以外的任何费用。</w:t>
      </w:r>
    </w:p>
    <w:p w14:paraId="5FFD0CA1">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hint="eastAsia"/>
          <w:b w:val="0"/>
          <w:sz w:val="24"/>
          <w:lang w:val="en-US" w:eastAsia="zh-CN"/>
        </w:rPr>
        <w:t>6.</w:t>
      </w:r>
      <w:r>
        <w:rPr>
          <w:rFonts w:ascii="Times New Roman" w:hAnsi="Times New Roman" w:eastAsia="宋体"/>
          <w:b w:val="0"/>
          <w:sz w:val="24"/>
        </w:rPr>
        <w:t>项目完成、演练顺利实施并交付相关成果、验收合格后，一次性支付所有款项。</w:t>
      </w:r>
    </w:p>
    <w:p w14:paraId="73D2B519">
      <w:pPr>
        <w:keepNext w:val="0"/>
        <w:keepLines w:val="0"/>
        <w:pageBreakBefore w:val="0"/>
        <w:widowControl/>
        <w:kinsoku/>
        <w:overflowPunct/>
        <w:topLinePunct w:val="0"/>
        <w:autoSpaceDE/>
        <w:autoSpaceDN/>
        <w:bidi w:val="0"/>
        <w:adjustRightInd/>
        <w:snapToGrid/>
        <w:spacing w:after="0" w:line="560" w:lineRule="exact"/>
        <w:ind w:firstLine="480" w:firstLineChars="200"/>
        <w:jc w:val="both"/>
        <w:textAlignment w:val="auto"/>
      </w:pPr>
      <w:r>
        <w:rPr>
          <w:rFonts w:hint="eastAsia"/>
          <w:b w:val="0"/>
          <w:sz w:val="24"/>
          <w:lang w:val="en-US" w:eastAsia="zh-CN"/>
        </w:rPr>
        <w:t>7.</w:t>
      </w:r>
      <w:r>
        <w:rPr>
          <w:rFonts w:ascii="Times New Roman" w:hAnsi="Times New Roman" w:eastAsia="宋体"/>
          <w:b w:val="0"/>
          <w:sz w:val="24"/>
        </w:rPr>
        <w:t>项目工期：活动暂定2026年10月28日下午在南京师范大学中北学院图书馆报告厅举行（具体以采购人通知为准）；成交供应商应在活动前完成全部策划、脚本、器材及人员准备。</w:t>
      </w:r>
    </w:p>
    <w:sectPr>
      <w:footerReference r:id="rId5" w:type="default"/>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A2A72">
    <w:pPr>
      <w:pStyle w:val="24"/>
      <w:jc w:val="center"/>
    </w:pPr>
    <w:r>
      <w:rPr>
        <w:rFonts w:ascii="Times New Roman" w:hAnsi="Times New Roman" w:eastAsia="宋体"/>
        <w:b w:val="0"/>
        <w:sz w:val="18"/>
      </w:rPr>
      <w:fldChar w:fldCharType="begin"/>
    </w:r>
    <w:r>
      <w:rPr>
        <w:rFonts w:ascii="Times New Roman" w:hAnsi="Times New Roman" w:eastAsia="宋体"/>
        <w:b w:val="0"/>
        <w:sz w:val="18"/>
      </w:rPr>
      <w:instrText xml:space="preserve">PAGE</w:instrText>
    </w:r>
    <w:r>
      <w:rPr>
        <w:rFonts w:ascii="Times New Roman" w:hAnsi="Times New Roman" w:eastAsia="宋体"/>
        <w:b w:val="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C4F05B"/>
    <w:multiLevelType w:val="singleLevel"/>
    <w:tmpl w:val="C3C4F05B"/>
    <w:lvl w:ilvl="0" w:tentative="0">
      <w:start w:val="2"/>
      <w:numFmt w:val="decimal"/>
      <w:lvlText w:val="%1."/>
      <w:lvlJc w:val="left"/>
      <w:pPr>
        <w:tabs>
          <w:tab w:val="left" w:pos="312"/>
        </w:tabs>
      </w:p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7655E"/>
    <w:rsid w:val="00AA1D8D"/>
    <w:rsid w:val="00B47730"/>
    <w:rsid w:val="00CB0664"/>
    <w:rsid w:val="00FC693F"/>
    <w:rsid w:val="11EB06B4"/>
    <w:rsid w:val="13DB3D64"/>
    <w:rsid w:val="17E02057"/>
    <w:rsid w:val="2DDE0469"/>
    <w:rsid w:val="4C734E7A"/>
    <w:rsid w:val="67092878"/>
    <w:rsid w:val="692B5A9B"/>
    <w:rsid w:val="6EAF05CE"/>
    <w:rsid w:val="75A60C51"/>
    <w:rsid w:val="791813B9"/>
    <w:rsid w:val="7CC418D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1294</Words>
  <Characters>1335</Characters>
  <Lines>0</Lines>
  <Paragraphs>0</Paragraphs>
  <TotalTime>6</TotalTime>
  <ScaleCrop>false</ScaleCrop>
  <LinksUpToDate>false</LinksUpToDate>
  <CharactersWithSpaces>1335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岩哥是英才</cp:lastModifiedBy>
  <dcterms:modified xsi:type="dcterms:W3CDTF">2026-10-14T02:25:20Z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eyJoZGlkIjoiZGEyNDI4NDFhZmM3MDIzZWY2NzhlYTFhNjIxZDExZmMiLCJ1c2VySWQiOiI2OTEzMjY3MTEifQ==</vt:lpwstr>
  </property>
  <property fmtid="{D5CDD505-2E9C-101B-9397-08002B2CF9AE}" pid="3" name="KSOProductBuildVer">
    <vt:lpwstr>2052-12.1.0.28505</vt:lpwstr>
  </property>
  <property fmtid="{D5CDD505-2E9C-101B-9397-08002B2CF9AE}" pid="4" name="ICV">
    <vt:lpwstr>1FC26CBE378343D6913A5538EC68C1B1_13</vt:lpwstr>
  </property>
</Properties>
</file>