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894C9">
      <w:pPr>
        <w:jc w:val="center"/>
        <w:rPr>
          <w:rFonts w:hint="eastAsia" w:cs="Times New Roman" w:asciiTheme="majorEastAsia" w:hAnsiTheme="majorEastAsia" w:eastAsiaTheme="majorEastAsia"/>
          <w:b/>
          <w:sz w:val="44"/>
          <w:szCs w:val="44"/>
          <w:lang w:val="en-US" w:eastAsia="zh-CN"/>
        </w:rPr>
      </w:pPr>
      <w:r>
        <w:rPr>
          <w:rFonts w:hint="eastAsia" w:cs="Times New Roman" w:asciiTheme="majorEastAsia" w:hAnsiTheme="majorEastAsia" w:eastAsiaTheme="majorEastAsia"/>
          <w:b/>
          <w:sz w:val="44"/>
          <w:szCs w:val="44"/>
          <w:lang w:val="en-US" w:eastAsia="zh-CN"/>
        </w:rPr>
        <w:t>2026级新生中秋节月饼采购需求</w:t>
      </w:r>
    </w:p>
    <w:p w14:paraId="27DE5BAF">
      <w:pPr>
        <w:jc w:val="center"/>
        <w:rPr>
          <w:rFonts w:hint="eastAsia" w:cs="Times New Roman" w:asciiTheme="majorEastAsia" w:hAnsiTheme="majorEastAsia" w:eastAsiaTheme="majorEastAsia"/>
          <w:b/>
          <w:sz w:val="40"/>
          <w:szCs w:val="40"/>
          <w:lang w:val="en-US" w:eastAsia="zh-CN"/>
        </w:rPr>
      </w:pPr>
    </w:p>
    <w:p w14:paraId="1C15BE7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一、数量和交货时间</w:t>
      </w:r>
    </w:p>
    <w:p w14:paraId="4D5748A2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新生中秋月饼采购数量：3700份 </w:t>
      </w:r>
    </w:p>
    <w:p w14:paraId="70482533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交货完成时间：2026年9月24日之前 </w:t>
      </w:r>
    </w:p>
    <w:p w14:paraId="67E75225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预算金额：40700 元（包含包装设计、月饼图案定制、月饼原料生产制作、包装盒定制、运输、装卸、管理、税务等全部相关费用）</w:t>
      </w:r>
    </w:p>
    <w:p w14:paraId="7FCB7B2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二、产品规格及食品技术要求</w:t>
      </w:r>
    </w:p>
    <w:p w14:paraId="5BB0A679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产品规格：每份礼盒内含2 枚广式月饼，单枚净含量 80g；月饼饼面可印制学校指定定制图案。</w:t>
      </w:r>
    </w:p>
    <w:p w14:paraId="2DB2D9BC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月饼品类：广式月饼，供应商可提供不少于2种风味组合，口味需适配大众学生群体，拒绝含有坚果过敏高危、特殊猎奇口味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的月饼。</w:t>
      </w:r>
    </w:p>
    <w:p w14:paraId="0DB51212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食品质量标准：月饼生产、加工、配料、储存、检验必须符合国家标准以及国家食品安全相关法律法规要求。供应商须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有效的食品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经营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许可证。</w:t>
      </w:r>
    </w:p>
    <w:p w14:paraId="727019F9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原料与保质期：月饼成品保质期不少于45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天；生产距离交货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日期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合理，不得使用临期原料，交货时剩余保质期不低于总保质期的三分之二。</w:t>
      </w:r>
    </w:p>
    <w:p w14:paraId="0F9E5585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卫生安全：月饼不得出现开裂、塌馅、漏馅、霉变、异味、杂质等质量缺陷；独立内包装密封完好，无漏气、破袋。</w:t>
      </w:r>
    </w:p>
    <w:p w14:paraId="5935D45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三、包装设计要求</w:t>
      </w:r>
    </w:p>
    <w:p w14:paraId="6F702EEA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包装需使用南京师范大学中北学院全称及标识 LOGO，参考素材来源：南京师范大学中北学院官方网站“学校概况” 栏目下学校简介、学校标识板块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等信息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整体采用统一色调、统一字体风格，校名、院标元素需重点突出、醒目展示。视觉高度统一：包装全系列色彩、字号、排版保持高度一致，营造庄重雅致、青春活力的校园节日视觉体验。供应商须保证LOGO、校名使用合规，不得发生商标、版权侵权问题。包装盒材质环保，抗压，适合转运堆放，礼盒成型平整，无开胶、破损、印刷脱色问题。</w:t>
      </w:r>
    </w:p>
    <w:p w14:paraId="2013CF1D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四、包装运输及储存要求</w:t>
      </w:r>
    </w:p>
    <w:p w14:paraId="53881F10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月饼为食品，运输过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程中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做好避光、防潮、防挤压防护，运输环境符合月饼储存条件，严禁高温暴晒运输。外箱为食品专用防潮纸箱。运输、卸货全过程由供应商负责，运费、装卸费全部包含在报价内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货物送达学院指定地点后，配合校方完成清点交接。</w:t>
      </w:r>
    </w:p>
    <w:p w14:paraId="50060D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五、验收标准</w:t>
      </w:r>
    </w:p>
    <w:p w14:paraId="29A63980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供货数量与采购需求一致；礼盒、月饼规格、口味、饼面图案、包装印刷符合采购文件及确认后的设计稿。月饼实物无漏气、破袋、霉变、异味、漏馅、杂质等食品安全问题；生产日期真实，保质期满足要求。样品试吃口感与供货实物保持一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如出现批次质量不合格，供应商须无条件整批退换货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承担全部相关费用。</w:t>
      </w:r>
    </w:p>
    <w:p w14:paraId="0B9A74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六、评分指标</w:t>
      </w:r>
    </w:p>
    <w:p w14:paraId="205FFFD3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本次询价采用综合评分法，总分为 100 分，计算结果保留两位小数。按综合得分由高到低顺序排列；得分相同的，则按服务方案分由高到低确定排名。</w:t>
      </w:r>
    </w:p>
    <w:p w14:paraId="3E4503EA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tbl>
      <w:tblPr>
        <w:tblStyle w:val="6"/>
        <w:tblW w:w="8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6586"/>
        <w:gridCol w:w="810"/>
      </w:tblGrid>
      <w:tr w14:paraId="70CAD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B17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评分指标</w:t>
            </w:r>
          </w:p>
        </w:tc>
        <w:tc>
          <w:tcPr>
            <w:tcW w:w="6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08CE4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评分细则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A047B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分值</w:t>
            </w:r>
          </w:p>
        </w:tc>
      </w:tr>
      <w:tr w14:paraId="3E4D0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5C9D2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价格</w:t>
            </w:r>
          </w:p>
        </w:tc>
        <w:tc>
          <w:tcPr>
            <w:tcW w:w="6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9E85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满足采购文件全部要求且响应价格最低的报价为基准价，价格满分50分。价格分计算公式：报价得分 =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基准价÷报价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×50。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143A7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</w:tr>
      <w:tr w14:paraId="69F22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523A4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业绩情况</w:t>
            </w:r>
          </w:p>
        </w:tc>
        <w:tc>
          <w:tcPr>
            <w:tcW w:w="6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8CBF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近3年有独立完成过类似项目的业绩，每提供一份合同得3分，最高12分（提供复印件并加盖公章，原件备查）。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62CFC">
            <w:pPr>
              <w:spacing w:line="5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</w:tr>
      <w:tr w14:paraId="54535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E1D41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服务方案</w:t>
            </w:r>
          </w:p>
        </w:tc>
        <w:tc>
          <w:tcPr>
            <w:tcW w:w="6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41B5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横向对比各供应商服务方案完整度、响应落地可行性酌情打分。优17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—</w:t>
            </w:r>
            <w:r>
              <w:rPr>
                <w:rFonts w:ascii="宋体" w:hAnsi="宋体" w:eastAsia="宋体" w:cs="宋体"/>
                <w:sz w:val="24"/>
                <w:szCs w:val="24"/>
              </w:rPr>
              <w:t>24分，良9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—</w:t>
            </w:r>
            <w:r>
              <w:rPr>
                <w:rFonts w:ascii="宋体" w:hAnsi="宋体" w:eastAsia="宋体" w:cs="宋体"/>
                <w:sz w:val="24"/>
                <w:szCs w:val="24"/>
              </w:rPr>
              <w:t>16分，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一般</w:t>
            </w: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—</w:t>
            </w:r>
            <w:r>
              <w:rPr>
                <w:rFonts w:ascii="宋体" w:hAnsi="宋体" w:eastAsia="宋体" w:cs="宋体"/>
                <w:sz w:val="24"/>
                <w:szCs w:val="24"/>
              </w:rPr>
              <w:t>8分，不提供服务方案不得分。服务方案应当包含：响应服务时间承诺、食品质量保障措施、生产供货保障、运输配送方案、食品风险应急处置、退换货售后服务、样品保障等内容。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8AE4B">
            <w:pPr>
              <w:spacing w:line="5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</w:p>
        </w:tc>
      </w:tr>
      <w:tr w14:paraId="008A3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05700"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设计方案</w:t>
            </w:r>
          </w:p>
        </w:tc>
        <w:tc>
          <w:tcPr>
            <w:tcW w:w="6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C3CC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横向对比设计方案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酌情打分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 xml:space="preserve"> -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分，良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分，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分，不提供设计方案不得分。设计方案应包含：设计理念思路、礼盒包装盒材质规格、礼盒效果图、月饼饼面定制图案说明，月饼口味组合说明，需充分体现南京师范大学中北学院校园文化与品牌特色，满足本文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所要求的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包装、饼面定制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月饼口味及品质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全部要求。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7A85D">
            <w:pPr>
              <w:spacing w:line="5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</w:tr>
      <w:tr w14:paraId="067D7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4FB27">
            <w:pPr>
              <w:spacing w:line="56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产品质量</w:t>
            </w:r>
          </w:p>
        </w:tc>
        <w:tc>
          <w:tcPr>
            <w:tcW w:w="6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E9BD4">
            <w:pPr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供应商需提供产品的样品实物，横向比较样品试吃口感酌情打分。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分，良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分，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一般1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分，不提供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不得分。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2E4E8">
            <w:pPr>
              <w:spacing w:line="5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</w:tr>
    </w:tbl>
    <w:p w14:paraId="660D5F3C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4F4C25"/>
    <w:rsid w:val="078E11BE"/>
    <w:rsid w:val="07AC5B85"/>
    <w:rsid w:val="08084DCA"/>
    <w:rsid w:val="0F640A32"/>
    <w:rsid w:val="14C04A89"/>
    <w:rsid w:val="15983867"/>
    <w:rsid w:val="164E081E"/>
    <w:rsid w:val="334F4C25"/>
    <w:rsid w:val="3EB17CED"/>
    <w:rsid w:val="3F575F46"/>
    <w:rsid w:val="4AF97A1B"/>
    <w:rsid w:val="4E950123"/>
    <w:rsid w:val="500A5F84"/>
    <w:rsid w:val="64DA31DF"/>
    <w:rsid w:val="6A5F2753"/>
    <w:rsid w:val="70780F88"/>
    <w:rsid w:val="7922264C"/>
    <w:rsid w:val="7A24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f73fc311-1361-4ac1-b3f8-eed0b05c0942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29A63980</paraID>
      <start>131</start>
      <end>133</end>
      <status>modified</status>
      <modifiedWord>，并</modifiedWord>
      <trackRevisions>false</trackRevisions>
    </reviewItem>
    <reviewItem>
      <errorID>9cdd7892-7b31-49f2-a3ad-3fb3cb6f0dd6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38741B50</paraID>
      <start>31</start>
      <end>32</end>
      <status>modified</status>
      <modifiedWord>—</modifiedWord>
      <trackRevisions>false</trackRevisions>
    </reviewItem>
    <reviewItem>
      <errorID>bd9ecb85-775e-4aa9-81dd-8e7429fe368b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38741B50</paraID>
      <start>38</start>
      <end>39</end>
      <status>modified</status>
      <modifiedWord>—</modifiedWord>
      <trackRevisions>false</trackRevisions>
    </reviewItem>
    <reviewItem>
      <errorID>7d58eb8a-047a-4efb-8093-a6c83ea74157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38741B50</paraID>
      <start>46</start>
      <end>47</end>
      <status>modified</status>
      <modifiedWord>—</modifiedWord>
      <trackRevisions>false</trackRevisions>
    </reviewItem>
    <reviewItem>
      <errorID>29b7771a-296a-4eb1-b6f0-7f167d35771e</errorID>
      <errorWord>变现</errorWord>
      <group>L1_Word</group>
      <groupName>字词问题</groupName>
      <ability>L2_Typo</ability>
      <abilityName>字词错误</abilityName>
      <candidateList>
        <item>表现</item>
      </candidateList>
      <explain/>
      <paraID>1DEC3CCB</paraID>
      <start>32</start>
      <end>34</end>
      <status>modified</status>
      <modifiedWord>表现</modifiedWord>
      <trackRevisions>false</trackRevisions>
    </reviewItem>
    <reviewItem>
      <errorID>0c6f5a66-2ea1-4e42-a60f-ab8df4b47656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1DEC3CCB</paraID>
      <start>51</start>
      <end>52</end>
      <status>modified</status>
      <modifiedWord>—</modifiedWord>
      <trackRevisions>false</trackRevisions>
    </reviewItem>
    <reviewItem>
      <errorID>7eeb02a9-7297-4d61-a0b7-1a15e233c454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1DEC3CCB</paraID>
      <start>59</start>
      <end>60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138f35-3c54-4f4b-9a60-be2fd2a8ad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1431</Words>
  <Characters>1470</Characters>
  <Lines>0</Lines>
  <Paragraphs>0</Paragraphs>
  <TotalTime>27</TotalTime>
  <ScaleCrop>false</ScaleCrop>
  <LinksUpToDate>false</LinksUpToDate>
  <CharactersWithSpaces>1484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2026-09-06T10:25:00Z</dcterms:created>
  <dc:creator>[  ]</dc:creator>
  <cp:lastModifiedBy>岩哥是英才</cp:lastModifiedBy>
  <dcterms:modified xsi:type="dcterms:W3CDTF">2026-09-08T07:49:13Z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86CB7752026442B3B0AABE28D685637F_11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