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9EA79">
      <w:pPr>
        <w:widowControl/>
        <w:jc w:val="left"/>
        <w:rPr>
          <w:sz w:val="10"/>
          <w:szCs w:val="10"/>
        </w:rPr>
      </w:pPr>
      <w:r>
        <w:rPr>
          <w:rFonts w:hint="eastAsia" w:ascii="宋体" w:hAnsi="宋体" w:eastAsia="宋体" w:cs="Times New Roman"/>
          <w:b/>
          <w:bCs/>
          <w:color w:val="000000"/>
          <w:kern w:val="0"/>
          <w:sz w:val="30"/>
          <w:szCs w:val="30"/>
        </w:rPr>
        <w:t>网课</w:t>
      </w:r>
      <w:r>
        <w:rPr>
          <w:rFonts w:hint="eastAsia" w:ascii="宋体" w:hAnsi="宋体" w:eastAsia="宋体" w:cs="Times New Roman"/>
          <w:b/>
          <w:bCs/>
          <w:color w:val="000000"/>
          <w:kern w:val="0"/>
          <w:sz w:val="30"/>
          <w:szCs w:val="30"/>
          <w:lang w:val="en-US" w:eastAsia="zh-CN"/>
        </w:rPr>
        <w:t>平台</w:t>
      </w:r>
      <w:r>
        <w:rPr>
          <w:rFonts w:hint="eastAsia" w:ascii="宋体" w:hAnsi="宋体" w:eastAsia="宋体" w:cs="Times New Roman"/>
          <w:b/>
          <w:bCs/>
          <w:color w:val="000000"/>
          <w:kern w:val="0"/>
          <w:sz w:val="30"/>
          <w:szCs w:val="30"/>
        </w:rPr>
        <w:t>服务参数要求</w:t>
      </w:r>
    </w:p>
    <w:p w14:paraId="49706D58">
      <w:pPr>
        <w:pStyle w:val="2"/>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课程资源要求</w:t>
      </w:r>
    </w:p>
    <w:p w14:paraId="49706D59">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课程类型与数量</w:t>
      </w:r>
    </w:p>
    <w:p w14:paraId="49706D5A">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（1）课程内容需覆盖</w:t>
      </w:r>
      <w:r>
        <w:rPr>
          <w:color w:val="000000" w:themeColor="text1"/>
          <w:szCs w:val="21"/>
          <w14:textFill>
            <w14:solidFill>
              <w14:schemeClr w14:val="tx1"/>
            </w14:solidFill>
          </w14:textFill>
        </w:rPr>
        <w:t>心理健康教育、劳动教育、国家安全教育、实验室安全、创新创业类、自然科技类、公共艺术类（含理论及实践）、人文社科类、四史教育类、美学和艺术史论类、艺术鉴赏和评论类、人工智能类</w:t>
      </w:r>
      <w:r>
        <w:rPr>
          <w:rFonts w:hint="eastAsia"/>
          <w:color w:val="000000" w:themeColor="text1"/>
          <w:szCs w:val="21"/>
          <w14:textFill>
            <w14:solidFill>
              <w14:schemeClr w14:val="tx1"/>
            </w14:solidFill>
          </w14:textFill>
        </w:rPr>
        <w:t>等12个类型，总量不少于670门。各类别具体要求如下。</w:t>
      </w:r>
    </w:p>
    <w:tbl>
      <w:tblPr>
        <w:tblStyle w:val="19"/>
        <w:tblW w:w="0" w:type="auto"/>
        <w:tblInd w:w="0" w:type="dxa"/>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Layout w:type="autofit"/>
        <w:tblCellMar>
          <w:top w:w="0" w:type="dxa"/>
          <w:left w:w="108" w:type="dxa"/>
          <w:bottom w:w="0" w:type="dxa"/>
          <w:right w:w="108" w:type="dxa"/>
        </w:tblCellMar>
      </w:tblPr>
      <w:tblGrid>
        <w:gridCol w:w="2943"/>
        <w:gridCol w:w="1418"/>
        <w:gridCol w:w="6060"/>
      </w:tblGrid>
      <w:tr w14:paraId="5A2682D1">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tcBorders>
              <w:top w:val="single" w:color="1E2022" w:sz="4" w:space="0"/>
              <w:left w:val="single" w:color="1E2022" w:sz="4" w:space="0"/>
              <w:bottom w:val="single" w:color="1E2022" w:sz="4" w:space="0"/>
              <w:right w:val="dotted" w:color="1E2022" w:sz="4" w:space="0"/>
              <w:insideH w:val="single" w:sz="4" w:space="0"/>
              <w:insideV w:val="dotted" w:sz="4" w:space="0"/>
            </w:tcBorders>
            <w:shd w:val="clear" w:color="auto" w:fill="FFFFFF"/>
          </w:tcPr>
          <w:p w14:paraId="13E1B5EC">
            <w:pPr>
              <w:jc w:val="center"/>
              <w:rPr>
                <w:rFonts w:ascii="宋体" w:hAnsi="宋体" w:eastAsia="宋体"/>
                <w:b/>
                <w:bCs/>
                <w:color w:val="000000" w:themeColor="text1"/>
                <w:szCs w:val="21"/>
                <w14:textFill>
                  <w14:solidFill>
                    <w14:schemeClr w14:val="tx1"/>
                  </w14:solidFill>
                </w14:textFill>
              </w:rPr>
            </w:pPr>
            <w:r>
              <w:rPr>
                <w:rFonts w:ascii="宋体" w:hAnsi="宋体" w:eastAsia="宋体"/>
                <w:b/>
                <w:bCs/>
                <w:color w:val="000000" w:themeColor="text1"/>
                <w:szCs w:val="21"/>
                <w14:textFill>
                  <w14:solidFill>
                    <w14:schemeClr w14:val="tx1"/>
                  </w14:solidFill>
                </w14:textFill>
              </w:rPr>
              <w:t>分类名称</w:t>
            </w:r>
          </w:p>
        </w:tc>
        <w:tc>
          <w:tcPr>
            <w:tcW w:w="1418" w:type="dxa"/>
            <w:tcBorders>
              <w:top w:val="single" w:color="1E2022" w:sz="4" w:space="0"/>
              <w:bottom w:val="single" w:color="1E2022" w:sz="4" w:space="0"/>
              <w:right w:val="dotted" w:color="1E2022" w:sz="4" w:space="0"/>
              <w:insideH w:val="single" w:sz="4" w:space="0"/>
              <w:insideV w:val="dotted" w:sz="4" w:space="0"/>
            </w:tcBorders>
            <w:shd w:val="clear" w:color="auto" w:fill="FFFFFF"/>
          </w:tcPr>
          <w:p w14:paraId="550CEDEF">
            <w:pPr>
              <w:jc w:val="center"/>
              <w:rPr>
                <w:rFonts w:ascii="宋体" w:hAnsi="宋体" w:eastAsia="宋体"/>
                <w:b/>
                <w:bCs/>
                <w:color w:val="000000" w:themeColor="text1"/>
                <w:szCs w:val="21"/>
                <w14:textFill>
                  <w14:solidFill>
                    <w14:schemeClr w14:val="tx1"/>
                  </w14:solidFill>
                </w14:textFill>
              </w:rPr>
            </w:pPr>
            <w:r>
              <w:rPr>
                <w:rFonts w:ascii="宋体" w:hAnsi="宋体" w:eastAsia="宋体"/>
                <w:b/>
                <w:bCs/>
                <w:color w:val="000000" w:themeColor="text1"/>
                <w:szCs w:val="21"/>
                <w14:textFill>
                  <w14:solidFill>
                    <w14:schemeClr w14:val="tx1"/>
                  </w14:solidFill>
                </w14:textFill>
              </w:rPr>
              <w:t>课程数量</w:t>
            </w:r>
          </w:p>
        </w:tc>
        <w:tc>
          <w:tcPr>
            <w:tcW w:w="6060" w:type="dxa"/>
            <w:tcBorders>
              <w:top w:val="single" w:color="1E2022" w:sz="4" w:space="0"/>
              <w:bottom w:val="single" w:color="1E2022" w:sz="4" w:space="0"/>
              <w:right w:val="single" w:color="1E2022" w:sz="4" w:space="0"/>
              <w:insideH w:val="single" w:sz="4" w:space="0"/>
              <w:insideV w:val="dotted" w:sz="4" w:space="0"/>
            </w:tcBorders>
            <w:shd w:val="clear" w:color="auto" w:fill="FFFFFF"/>
          </w:tcPr>
          <w:p w14:paraId="6C10C370">
            <w:pPr>
              <w:jc w:val="center"/>
              <w:rPr>
                <w:rFonts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主要内容</w:t>
            </w:r>
          </w:p>
        </w:tc>
      </w:tr>
      <w:tr w14:paraId="0A3778E0">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127571C2">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心理健康教育</w:t>
            </w:r>
          </w:p>
        </w:tc>
        <w:tc>
          <w:tcPr>
            <w:tcW w:w="1418" w:type="dxa"/>
            <w:shd w:val="clear" w:color="auto" w:fill="auto"/>
            <w:vAlign w:val="center"/>
          </w:tcPr>
          <w:p w14:paraId="3E99CD2F">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20</w:t>
            </w:r>
          </w:p>
        </w:tc>
        <w:tc>
          <w:tcPr>
            <w:tcW w:w="6060" w:type="dxa"/>
            <w:shd w:val="clear" w:color="auto" w:fill="auto"/>
            <w:vAlign w:val="center"/>
          </w:tcPr>
          <w:p w14:paraId="2D615646">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聚焦情绪管理、自我认知、人际适应与心理调适，帮助学生建立积极心态与健全人格。</w:t>
            </w:r>
          </w:p>
        </w:tc>
      </w:tr>
      <w:tr w14:paraId="47C5162E">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0D24DAC2">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劳动教育</w:t>
            </w:r>
          </w:p>
        </w:tc>
        <w:tc>
          <w:tcPr>
            <w:tcW w:w="1418" w:type="dxa"/>
            <w:shd w:val="clear" w:color="auto" w:fill="auto"/>
            <w:vAlign w:val="center"/>
          </w:tcPr>
          <w:p w14:paraId="59E8EC7D">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5</w:t>
            </w:r>
          </w:p>
        </w:tc>
        <w:tc>
          <w:tcPr>
            <w:tcW w:w="6060" w:type="dxa"/>
            <w:shd w:val="clear" w:color="auto" w:fill="auto"/>
            <w:vAlign w:val="center"/>
          </w:tcPr>
          <w:p w14:paraId="57C55119">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弘扬劳动精神，传授劳动技能与实践方法，培养尊重劳动、诚实劳动的态度。</w:t>
            </w:r>
          </w:p>
        </w:tc>
      </w:tr>
      <w:tr w14:paraId="6F6C672E">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6EF0C457">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国家安全教育</w:t>
            </w:r>
          </w:p>
        </w:tc>
        <w:tc>
          <w:tcPr>
            <w:tcW w:w="1418" w:type="dxa"/>
            <w:shd w:val="clear" w:color="auto" w:fill="auto"/>
            <w:vAlign w:val="center"/>
          </w:tcPr>
          <w:p w14:paraId="25A93172">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5</w:t>
            </w:r>
          </w:p>
        </w:tc>
        <w:tc>
          <w:tcPr>
            <w:tcW w:w="6060" w:type="dxa"/>
            <w:shd w:val="clear" w:color="auto" w:fill="auto"/>
            <w:vAlign w:val="center"/>
          </w:tcPr>
          <w:p w14:paraId="66DAB55C">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涵盖总体国家安全观、军事理论、国防安全及法律法规，增强国家安全意识与责任。</w:t>
            </w:r>
          </w:p>
        </w:tc>
      </w:tr>
      <w:tr w14:paraId="16D057AE">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2CBF4AF8">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实验室安全</w:t>
            </w:r>
          </w:p>
        </w:tc>
        <w:tc>
          <w:tcPr>
            <w:tcW w:w="1418" w:type="dxa"/>
            <w:shd w:val="clear" w:color="auto" w:fill="auto"/>
            <w:vAlign w:val="center"/>
          </w:tcPr>
          <w:p w14:paraId="41ABDE4A">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10</w:t>
            </w:r>
          </w:p>
        </w:tc>
        <w:tc>
          <w:tcPr>
            <w:tcW w:w="6060" w:type="dxa"/>
            <w:shd w:val="clear" w:color="auto" w:fill="auto"/>
            <w:vAlign w:val="center"/>
          </w:tcPr>
          <w:p w14:paraId="797BA0AF">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化学、物理、生物等实验室相关安全课程</w:t>
            </w:r>
          </w:p>
        </w:tc>
      </w:tr>
      <w:tr w14:paraId="22A16D09">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51C07CA9">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创新创业类</w:t>
            </w:r>
          </w:p>
        </w:tc>
        <w:tc>
          <w:tcPr>
            <w:tcW w:w="1418" w:type="dxa"/>
            <w:shd w:val="clear" w:color="auto" w:fill="auto"/>
            <w:vAlign w:val="center"/>
          </w:tcPr>
          <w:p w14:paraId="607B400D">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35</w:t>
            </w:r>
          </w:p>
        </w:tc>
        <w:tc>
          <w:tcPr>
            <w:tcW w:w="6060" w:type="dxa"/>
            <w:shd w:val="clear" w:color="auto" w:fill="auto"/>
            <w:vAlign w:val="center"/>
          </w:tcPr>
          <w:p w14:paraId="735518B2">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培养创新思维、创业能力与商业实践技能，涵盖项目设计、团队管理与商业模式构建。</w:t>
            </w:r>
          </w:p>
        </w:tc>
      </w:tr>
      <w:tr w14:paraId="02E8AD2A">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25E0BC3A">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自然科技类</w:t>
            </w:r>
          </w:p>
        </w:tc>
        <w:tc>
          <w:tcPr>
            <w:tcW w:w="1418" w:type="dxa"/>
            <w:shd w:val="clear" w:color="auto" w:fill="auto"/>
            <w:vAlign w:val="center"/>
          </w:tcPr>
          <w:p w14:paraId="39A1BB43">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135</w:t>
            </w:r>
          </w:p>
        </w:tc>
        <w:tc>
          <w:tcPr>
            <w:tcW w:w="6060" w:type="dxa"/>
            <w:shd w:val="clear" w:color="auto" w:fill="auto"/>
            <w:vAlign w:val="center"/>
          </w:tcPr>
          <w:p w14:paraId="0C99CA0B">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包括物理、化学、生物、地理、数学、工程、医学、体育等非人工智能领域的自然科学与技术知识。</w:t>
            </w:r>
          </w:p>
        </w:tc>
      </w:tr>
      <w:tr w14:paraId="38D4D44D">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3347DB55">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公共艺术类（含理论及实践）</w:t>
            </w:r>
          </w:p>
        </w:tc>
        <w:tc>
          <w:tcPr>
            <w:tcW w:w="1418" w:type="dxa"/>
            <w:shd w:val="clear" w:color="auto" w:fill="auto"/>
            <w:vAlign w:val="center"/>
          </w:tcPr>
          <w:p w14:paraId="66B612C3">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40</w:t>
            </w:r>
          </w:p>
        </w:tc>
        <w:tc>
          <w:tcPr>
            <w:tcW w:w="6060" w:type="dxa"/>
            <w:shd w:val="clear" w:color="auto" w:fill="auto"/>
            <w:vAlign w:val="center"/>
          </w:tcPr>
          <w:p w14:paraId="71FAAD3C">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涉及音乐、舞蹈、戏剧、设计、手工艺、茶艺、穿搭等艺术实践与公共表达技能。</w:t>
            </w:r>
          </w:p>
        </w:tc>
      </w:tr>
      <w:tr w14:paraId="1D46DCB2">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57E17167">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人文社科类</w:t>
            </w:r>
          </w:p>
        </w:tc>
        <w:tc>
          <w:tcPr>
            <w:tcW w:w="1418" w:type="dxa"/>
            <w:shd w:val="clear" w:color="auto" w:fill="auto"/>
            <w:vAlign w:val="center"/>
          </w:tcPr>
          <w:p w14:paraId="7EC857AD">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330</w:t>
            </w:r>
          </w:p>
        </w:tc>
        <w:tc>
          <w:tcPr>
            <w:tcW w:w="6060" w:type="dxa"/>
            <w:shd w:val="clear" w:color="auto" w:fill="auto"/>
            <w:vAlign w:val="center"/>
          </w:tcPr>
          <w:p w14:paraId="66D89130">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涵盖历史、文学、哲学、社会学、法学、经济学、语言学、传播学等，培养人文底蕴与社会分析能力。</w:t>
            </w:r>
          </w:p>
        </w:tc>
      </w:tr>
      <w:tr w14:paraId="64EE2EFE">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428D4E9D">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四史教育类</w:t>
            </w:r>
          </w:p>
        </w:tc>
        <w:tc>
          <w:tcPr>
            <w:tcW w:w="1418" w:type="dxa"/>
            <w:shd w:val="clear" w:color="auto" w:fill="auto"/>
            <w:vAlign w:val="center"/>
          </w:tcPr>
          <w:p w14:paraId="420DAE7B">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5</w:t>
            </w:r>
          </w:p>
        </w:tc>
        <w:tc>
          <w:tcPr>
            <w:tcW w:w="6060" w:type="dxa"/>
            <w:shd w:val="clear" w:color="auto" w:fill="auto"/>
            <w:vAlign w:val="center"/>
          </w:tcPr>
          <w:p w14:paraId="21EB8F89">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系统学习党史、新中国史、改革开放史、社会主义发展史，传承红色基因与历史智慧。</w:t>
            </w:r>
          </w:p>
        </w:tc>
      </w:tr>
      <w:tr w14:paraId="6D0BD2F8">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208DB744">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美学和艺术史论类</w:t>
            </w:r>
          </w:p>
        </w:tc>
        <w:tc>
          <w:tcPr>
            <w:tcW w:w="1418" w:type="dxa"/>
            <w:shd w:val="clear" w:color="auto" w:fill="auto"/>
            <w:vAlign w:val="center"/>
          </w:tcPr>
          <w:p w14:paraId="77BC823E">
            <w:pPr>
              <w:jc w:val="center"/>
              <w:rPr>
                <w:rFonts w:hint="eastAsia"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10</w:t>
            </w:r>
          </w:p>
        </w:tc>
        <w:tc>
          <w:tcPr>
            <w:tcW w:w="6060" w:type="dxa"/>
            <w:shd w:val="clear" w:color="auto" w:fill="auto"/>
            <w:vAlign w:val="center"/>
          </w:tcPr>
          <w:p w14:paraId="15DD7CDC">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探究艺术本质、美学原理及艺术发展史，培养审美判断力与艺术理论基础。</w:t>
            </w:r>
          </w:p>
        </w:tc>
      </w:tr>
      <w:tr w14:paraId="71345E7C">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79A96622">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艺术鉴赏和评论类</w:t>
            </w:r>
          </w:p>
        </w:tc>
        <w:tc>
          <w:tcPr>
            <w:tcW w:w="1418" w:type="dxa"/>
            <w:shd w:val="clear" w:color="auto" w:fill="auto"/>
            <w:vAlign w:val="center"/>
          </w:tcPr>
          <w:p w14:paraId="72C011DF">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20</w:t>
            </w:r>
          </w:p>
        </w:tc>
        <w:tc>
          <w:tcPr>
            <w:tcW w:w="6060" w:type="dxa"/>
            <w:shd w:val="clear" w:color="auto" w:fill="auto"/>
            <w:vAlign w:val="center"/>
          </w:tcPr>
          <w:p w14:paraId="4D7A8B07">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针对绘画、音乐、影视、戏剧等具体作品的分析、品鉴与批评，提升艺术感受与解读能力。</w:t>
            </w:r>
          </w:p>
        </w:tc>
      </w:tr>
      <w:tr w14:paraId="28E4FB01">
        <w:tblPrEx>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CellMar>
            <w:top w:w="0" w:type="dxa"/>
            <w:left w:w="108" w:type="dxa"/>
            <w:bottom w:w="0" w:type="dxa"/>
            <w:right w:w="108" w:type="dxa"/>
          </w:tblCellMar>
        </w:tblPrEx>
        <w:tc>
          <w:tcPr>
            <w:tcW w:w="2943" w:type="dxa"/>
            <w:shd w:val="clear" w:color="auto" w:fill="auto"/>
            <w:vAlign w:val="center"/>
          </w:tcPr>
          <w:p w14:paraId="0119BE2D">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人工智能类</w:t>
            </w:r>
          </w:p>
        </w:tc>
        <w:tc>
          <w:tcPr>
            <w:tcW w:w="1418" w:type="dxa"/>
            <w:shd w:val="clear" w:color="auto" w:fill="auto"/>
            <w:vAlign w:val="center"/>
          </w:tcPr>
          <w:p w14:paraId="53A17307">
            <w:pPr>
              <w:jc w:val="center"/>
              <w:rPr>
                <w:rFonts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55</w:t>
            </w:r>
          </w:p>
        </w:tc>
        <w:tc>
          <w:tcPr>
            <w:tcW w:w="6060" w:type="dxa"/>
            <w:shd w:val="clear" w:color="auto" w:fill="auto"/>
            <w:vAlign w:val="center"/>
          </w:tcPr>
          <w:p w14:paraId="73C6B399">
            <w:pPr>
              <w:jc w:val="center"/>
              <w:rPr>
                <w:rFonts w:hint="eastAsia" w:ascii="宋体" w:hAnsi="宋体" w:eastAsia="宋体"/>
                <w:color w:val="000000" w:themeColor="text1"/>
                <w:szCs w:val="21"/>
                <w14:textFill>
                  <w14:solidFill>
                    <w14:schemeClr w14:val="tx1"/>
                  </w14:solidFill>
                </w14:textFill>
              </w:rPr>
            </w:pPr>
            <w:r>
              <w:rPr>
                <w:rFonts w:hint="eastAsia" w:ascii="等线" w:hAnsi="等线" w:eastAsia="等线"/>
                <w:color w:val="000000"/>
                <w:sz w:val="22"/>
              </w:rPr>
              <w:t>覆盖人工智能原理、机器学习、大数据、Python编程、智能应用与AI伦理，培养智能时代的技术素养。</w:t>
            </w:r>
          </w:p>
        </w:tc>
      </w:tr>
    </w:tbl>
    <w:p w14:paraId="49706D62">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重点课程类型要求</w:t>
      </w:r>
    </w:p>
    <w:p w14:paraId="49706D63">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r>
        <w:rPr>
          <w:color w:val="000000" w:themeColor="text1"/>
          <w:szCs w:val="21"/>
          <w14:textFill>
            <w14:solidFill>
              <w14:schemeClr w14:val="tx1"/>
            </w14:solidFill>
          </w14:textFill>
        </w:rPr>
        <w:t>艺术鉴赏和评论类</w:t>
      </w:r>
      <w:r>
        <w:rPr>
          <w:rFonts w:hint="eastAsia"/>
          <w:color w:val="000000" w:themeColor="text1"/>
          <w:szCs w:val="21"/>
          <w14:textFill>
            <w14:solidFill>
              <w14:schemeClr w14:val="tx1"/>
            </w14:solidFill>
          </w14:textFill>
        </w:rPr>
        <w:t>课程中应包含美育课程，覆盖中共中央办公厅、国务院办公厅《关于全面加强和改进新时代学校美育工作的意见》中规定的音乐、美术、书法、舞蹈、戏剧、戏曲、影视等7个主题的相关课程。</w:t>
      </w:r>
    </w:p>
    <w:p w14:paraId="49706D64">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r>
        <w:rPr>
          <w:color w:val="000000" w:themeColor="text1"/>
          <w:szCs w:val="21"/>
          <w14:textFill>
            <w14:solidFill>
              <w14:schemeClr w14:val="tx1"/>
            </w14:solidFill>
          </w14:textFill>
        </w:rPr>
        <w:t>劳动教育</w:t>
      </w:r>
      <w:r>
        <w:rPr>
          <w:rFonts w:hint="eastAsia"/>
          <w:color w:val="000000" w:themeColor="text1"/>
          <w:szCs w:val="21"/>
          <w14:textFill>
            <w14:solidFill>
              <w14:schemeClr w14:val="tx1"/>
            </w14:solidFill>
          </w14:textFill>
        </w:rPr>
        <w:t>类课程中应包含劳动教育课程，其中至少有2门课程的师资来自中华全国总工会或相关下属机构，以劳动知识、劳模精神、工匠精神为主。总量不少于5门。课单中需体现教师工作单位信息。</w:t>
      </w:r>
    </w:p>
    <w:p w14:paraId="49706D65">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备选课程中应包含军事理论与军事技能训练课程，需至少2门课程，分别对应教育部教体艺〔2019〕1号《普通高等学校军事课教学大纲》所有军事理论部分（文件第六条）内容与军事技能训练部分（文件第七条）内容。需提供课程大纲与教育部文件要求对比内容。</w:t>
      </w:r>
    </w:p>
    <w:p w14:paraId="49706D66">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（4）国家安全教育类中，国家安全教育专题课程内容应覆盖国家规定的《国家安全教育大学生读本》（ISBN：978-7-04-061740-5）所有内容，课程包含视频不少于600分钟，开课单位应为军队、公安、武警等类型高校。</w:t>
      </w:r>
    </w:p>
    <w:p w14:paraId="49706D67">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（5）被选课单应包含经典导读主题课程，覆盖哲学、历史、文学、社会、科学、国学各领域经典。每门课程应针对1本著作进行深入解读，避免泛化的多本书籍介绍内容。总量不少于25门。</w:t>
      </w:r>
    </w:p>
    <w:p w14:paraId="49706D68">
      <w:pP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（6）人工智能类课程，包含人工智能导论、AIGC基础与应用、大数据、机器学习等，涵盖人工智能基础知识、技术与技能应用、人工智能伦理等各层面的内容。总数不少于60门。</w:t>
      </w:r>
    </w:p>
    <w:p w14:paraId="08F3DDAF">
      <w:pPr>
        <w:rPr>
          <w:rFonts w:hint="eastAsia"/>
          <w:color w:val="000000" w:themeColor="text1"/>
          <w:szCs w:val="21"/>
          <w:lang w:val="en-US" w:eastAsia="zh-CN"/>
          <w14:textFill>
            <w14:solidFill>
              <w14:schemeClr w14:val="tx1"/>
            </w14:solidFill>
          </w14:textFill>
        </w:rPr>
      </w:pP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7</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提供课程须涵盖下面课程</w:t>
      </w:r>
    </w:p>
    <w:p w14:paraId="367DA1FA">
      <w:pPr>
        <w:pStyle w:val="4"/>
        <w:rPr>
          <w:rFonts w:hint="eastAsia"/>
          <w:color w:val="000000" w:themeColor="text1"/>
          <w:szCs w:val="21"/>
          <w:lang w:val="en-US" w:eastAsia="zh-CN"/>
          <w14:textFill>
            <w14:solidFill>
              <w14:schemeClr w14:val="tx1"/>
            </w14:solidFill>
          </w14:textFill>
        </w:rPr>
      </w:pPr>
    </w:p>
    <w:p w14:paraId="4968C8B6">
      <w:pPr>
        <w:rPr>
          <w:rFonts w:hint="eastAsia"/>
          <w:color w:val="000000" w:themeColor="text1"/>
          <w:szCs w:val="21"/>
          <w:lang w:val="en-US" w:eastAsia="zh-CN"/>
          <w14:textFill>
            <w14:solidFill>
              <w14:schemeClr w14:val="tx1"/>
            </w14:solidFill>
          </w14:textFill>
        </w:rPr>
      </w:pPr>
    </w:p>
    <w:p w14:paraId="2D4D85F1">
      <w:pPr>
        <w:pStyle w:val="4"/>
        <w:rPr>
          <w:rFonts w:hint="eastAsia"/>
          <w:lang w:val="en-US" w:eastAsia="zh-CN"/>
        </w:rPr>
      </w:pPr>
    </w:p>
    <w:tbl>
      <w:tblPr>
        <w:tblStyle w:val="10"/>
        <w:tblW w:w="10652" w:type="dxa"/>
        <w:jc w:val="center"/>
        <w:tblLayout w:type="autofit"/>
        <w:tblCellMar>
          <w:top w:w="0" w:type="dxa"/>
          <w:left w:w="108" w:type="dxa"/>
          <w:bottom w:w="0" w:type="dxa"/>
          <w:right w:w="108" w:type="dxa"/>
        </w:tblCellMar>
      </w:tblPr>
      <w:tblGrid>
        <w:gridCol w:w="523"/>
        <w:gridCol w:w="2658"/>
        <w:gridCol w:w="2794"/>
        <w:gridCol w:w="2990"/>
        <w:gridCol w:w="930"/>
        <w:gridCol w:w="757"/>
      </w:tblGrid>
      <w:tr w14:paraId="487F357C">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8" w:space="0"/>
              <w:bottom w:val="single" w:color="auto" w:sz="4" w:space="0"/>
              <w:right w:val="single" w:color="auto" w:sz="4" w:space="0"/>
            </w:tcBorders>
            <w:shd w:val="clear" w:color="000000" w:fill="D9D9D9"/>
            <w:vAlign w:val="center"/>
          </w:tcPr>
          <w:p w14:paraId="79E6E866">
            <w:pPr>
              <w:widowControl/>
              <w:snapToGrid w:val="0"/>
              <w:ind w:left="0" w:leftChars="0" w:right="0" w:rightChars="0" w:firstLine="0" w:firstLineChars="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序号</w:t>
            </w:r>
          </w:p>
        </w:tc>
        <w:tc>
          <w:tcPr>
            <w:tcW w:w="0" w:type="auto"/>
            <w:tcBorders>
              <w:top w:val="single" w:color="auto" w:sz="4" w:space="0"/>
              <w:left w:val="single" w:color="auto" w:sz="8" w:space="0"/>
              <w:bottom w:val="single" w:color="auto" w:sz="4" w:space="0"/>
              <w:right w:val="single" w:color="auto" w:sz="4" w:space="0"/>
            </w:tcBorders>
            <w:shd w:val="clear" w:color="000000" w:fill="D9D9D9"/>
            <w:vAlign w:val="center"/>
          </w:tcPr>
          <w:p w14:paraId="2A6E8844">
            <w:pPr>
              <w:widowControl/>
              <w:snapToGrid w:val="0"/>
              <w:ind w:left="0" w:leftChars="0" w:right="0" w:rightChars="0" w:firstLine="0" w:firstLineChars="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课程名称</w:t>
            </w:r>
          </w:p>
        </w:tc>
        <w:tc>
          <w:tcPr>
            <w:tcW w:w="0" w:type="auto"/>
            <w:tcBorders>
              <w:top w:val="single" w:color="auto" w:sz="4" w:space="0"/>
              <w:left w:val="nil"/>
              <w:bottom w:val="single" w:color="auto" w:sz="4" w:space="0"/>
              <w:right w:val="single" w:color="auto" w:sz="4" w:space="0"/>
            </w:tcBorders>
            <w:shd w:val="clear" w:color="000000" w:fill="D9D9D9"/>
            <w:vAlign w:val="center"/>
          </w:tcPr>
          <w:p w14:paraId="6D6E723D">
            <w:pPr>
              <w:widowControl/>
              <w:snapToGrid w:val="0"/>
              <w:ind w:left="0" w:leftChars="0" w:right="0" w:rightChars="0" w:firstLine="0" w:firstLineChars="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主讲人</w:t>
            </w:r>
          </w:p>
        </w:tc>
        <w:tc>
          <w:tcPr>
            <w:tcW w:w="0" w:type="auto"/>
            <w:tcBorders>
              <w:top w:val="single" w:color="auto" w:sz="4" w:space="0"/>
              <w:left w:val="nil"/>
              <w:bottom w:val="single" w:color="auto" w:sz="4" w:space="0"/>
              <w:right w:val="single" w:color="auto" w:sz="4" w:space="0"/>
            </w:tcBorders>
            <w:shd w:val="clear" w:color="000000" w:fill="D9D9D9"/>
            <w:vAlign w:val="center"/>
          </w:tcPr>
          <w:p w14:paraId="412190AF">
            <w:pPr>
              <w:widowControl/>
              <w:snapToGrid w:val="0"/>
              <w:ind w:left="0" w:leftChars="0" w:right="0" w:rightChars="0" w:firstLine="0" w:firstLineChars="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单位</w:t>
            </w:r>
          </w:p>
        </w:tc>
        <w:tc>
          <w:tcPr>
            <w:tcW w:w="0" w:type="auto"/>
            <w:tcBorders>
              <w:top w:val="single" w:color="auto" w:sz="4" w:space="0"/>
              <w:left w:val="nil"/>
              <w:bottom w:val="single" w:color="auto" w:sz="4" w:space="0"/>
              <w:right w:val="single" w:color="auto" w:sz="4" w:space="0"/>
            </w:tcBorders>
            <w:shd w:val="clear" w:color="000000" w:fill="D9D9D9"/>
            <w:vAlign w:val="center"/>
          </w:tcPr>
          <w:p w14:paraId="3FB87399">
            <w:pPr>
              <w:widowControl/>
              <w:snapToGrid w:val="0"/>
              <w:ind w:left="0" w:leftChars="0" w:right="0" w:rightChars="0" w:firstLine="0" w:firstLineChars="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学分</w:t>
            </w:r>
          </w:p>
        </w:tc>
        <w:tc>
          <w:tcPr>
            <w:tcW w:w="757" w:type="dxa"/>
            <w:tcBorders>
              <w:top w:val="single" w:color="auto" w:sz="4" w:space="0"/>
              <w:left w:val="nil"/>
              <w:bottom w:val="single" w:color="auto" w:sz="4" w:space="0"/>
              <w:right w:val="single" w:color="auto" w:sz="4" w:space="0"/>
            </w:tcBorders>
            <w:shd w:val="clear" w:color="000000" w:fill="D9D9D9"/>
            <w:vAlign w:val="center"/>
          </w:tcPr>
          <w:p w14:paraId="22378F3F">
            <w:pPr>
              <w:widowControl/>
              <w:snapToGrid w:val="0"/>
              <w:ind w:left="0" w:leftChars="0" w:right="0" w:rightChars="0" w:firstLine="0" w:firstLineChars="0"/>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课时</w:t>
            </w:r>
          </w:p>
        </w:tc>
      </w:tr>
      <w:tr w14:paraId="7D48F699">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5333A87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0" w:type="auto"/>
            <w:tcBorders>
              <w:top w:val="nil"/>
              <w:left w:val="nil"/>
              <w:bottom w:val="single" w:color="auto" w:sz="4" w:space="0"/>
              <w:right w:val="single" w:color="auto" w:sz="4" w:space="0"/>
            </w:tcBorders>
            <w:shd w:val="clear" w:color="000000" w:fill="FFFFFF"/>
            <w:vAlign w:val="center"/>
          </w:tcPr>
          <w:p w14:paraId="7FD2D5F0">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用经济学智慧解读中国</w:t>
            </w:r>
          </w:p>
        </w:tc>
        <w:tc>
          <w:tcPr>
            <w:tcW w:w="0" w:type="auto"/>
            <w:tcBorders>
              <w:top w:val="nil"/>
              <w:left w:val="nil"/>
              <w:bottom w:val="single" w:color="auto" w:sz="4" w:space="0"/>
              <w:right w:val="single" w:color="auto" w:sz="4" w:space="0"/>
            </w:tcBorders>
            <w:shd w:val="clear" w:color="000000" w:fill="FFFFFF"/>
            <w:vAlign w:val="center"/>
          </w:tcPr>
          <w:p w14:paraId="566649ED">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石磊</w:t>
            </w:r>
          </w:p>
        </w:tc>
        <w:tc>
          <w:tcPr>
            <w:tcW w:w="0" w:type="auto"/>
            <w:tcBorders>
              <w:top w:val="nil"/>
              <w:left w:val="nil"/>
              <w:bottom w:val="single" w:color="auto" w:sz="4" w:space="0"/>
              <w:right w:val="single" w:color="auto" w:sz="4" w:space="0"/>
            </w:tcBorders>
            <w:shd w:val="clear" w:color="000000" w:fill="FFFFFF"/>
            <w:vAlign w:val="center"/>
          </w:tcPr>
          <w:p w14:paraId="2D2EFF1C">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复旦大学</w:t>
            </w:r>
          </w:p>
        </w:tc>
        <w:tc>
          <w:tcPr>
            <w:tcW w:w="0" w:type="auto"/>
            <w:tcBorders>
              <w:top w:val="nil"/>
              <w:left w:val="nil"/>
              <w:bottom w:val="single" w:color="auto" w:sz="4" w:space="0"/>
              <w:right w:val="single" w:color="auto" w:sz="4" w:space="0"/>
            </w:tcBorders>
            <w:shd w:val="clear" w:color="000000" w:fill="FFFFFF"/>
            <w:vAlign w:val="center"/>
          </w:tcPr>
          <w:p w14:paraId="7EFDB23B">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757" w:type="dxa"/>
            <w:tcBorders>
              <w:top w:val="nil"/>
              <w:left w:val="nil"/>
              <w:bottom w:val="single" w:color="auto" w:sz="4" w:space="0"/>
              <w:right w:val="single" w:color="auto" w:sz="4" w:space="0"/>
            </w:tcBorders>
            <w:shd w:val="clear" w:color="000000" w:fill="FFFFFF"/>
            <w:vAlign w:val="center"/>
          </w:tcPr>
          <w:p w14:paraId="65AB723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37</w:t>
            </w:r>
          </w:p>
        </w:tc>
      </w:tr>
      <w:tr w14:paraId="19E36DE1">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7329573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0" w:type="auto"/>
            <w:tcBorders>
              <w:top w:val="nil"/>
              <w:left w:val="nil"/>
              <w:bottom w:val="single" w:color="auto" w:sz="4" w:space="0"/>
              <w:right w:val="single" w:color="auto" w:sz="4" w:space="0"/>
            </w:tcBorders>
            <w:shd w:val="clear" w:color="000000" w:fill="FFFFFF"/>
            <w:vAlign w:val="center"/>
          </w:tcPr>
          <w:p w14:paraId="1404FBE8">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英美文化概论(英文授课)</w:t>
            </w:r>
          </w:p>
        </w:tc>
        <w:tc>
          <w:tcPr>
            <w:tcW w:w="0" w:type="auto"/>
            <w:tcBorders>
              <w:top w:val="nil"/>
              <w:left w:val="nil"/>
              <w:bottom w:val="single" w:color="auto" w:sz="4" w:space="0"/>
              <w:right w:val="single" w:color="auto" w:sz="4" w:space="0"/>
            </w:tcBorders>
            <w:shd w:val="clear" w:color="000000" w:fill="FFFFFF"/>
            <w:vAlign w:val="center"/>
          </w:tcPr>
          <w:p w14:paraId="1E40BC0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Alex Olah</w:t>
            </w:r>
          </w:p>
        </w:tc>
        <w:tc>
          <w:tcPr>
            <w:tcW w:w="0" w:type="auto"/>
            <w:tcBorders>
              <w:top w:val="nil"/>
              <w:left w:val="nil"/>
              <w:bottom w:val="single" w:color="auto" w:sz="4" w:space="0"/>
              <w:right w:val="single" w:color="auto" w:sz="4" w:space="0"/>
            </w:tcBorders>
            <w:shd w:val="clear" w:color="000000" w:fill="FFFFFF"/>
            <w:vAlign w:val="center"/>
          </w:tcPr>
          <w:p w14:paraId="347A8D6C">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中国石油大学</w:t>
            </w:r>
          </w:p>
        </w:tc>
        <w:tc>
          <w:tcPr>
            <w:tcW w:w="0" w:type="auto"/>
            <w:tcBorders>
              <w:top w:val="nil"/>
              <w:left w:val="nil"/>
              <w:bottom w:val="single" w:color="auto" w:sz="4" w:space="0"/>
              <w:right w:val="single" w:color="auto" w:sz="4" w:space="0"/>
            </w:tcBorders>
            <w:shd w:val="clear" w:color="000000" w:fill="FFFFFF"/>
            <w:vAlign w:val="center"/>
          </w:tcPr>
          <w:p w14:paraId="5C902E24">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224706FA">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22</w:t>
            </w:r>
          </w:p>
        </w:tc>
      </w:tr>
      <w:tr w14:paraId="67331593">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44FB0809">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0" w:type="auto"/>
            <w:tcBorders>
              <w:top w:val="nil"/>
              <w:left w:val="nil"/>
              <w:bottom w:val="single" w:color="auto" w:sz="4" w:space="0"/>
              <w:right w:val="single" w:color="auto" w:sz="4" w:space="0"/>
            </w:tcBorders>
            <w:shd w:val="clear" w:color="000000" w:fill="FFFFFF"/>
            <w:vAlign w:val="center"/>
          </w:tcPr>
          <w:p w14:paraId="6D701D0E">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全球变化与地球系统科学</w:t>
            </w:r>
          </w:p>
        </w:tc>
        <w:tc>
          <w:tcPr>
            <w:tcW w:w="0" w:type="auto"/>
            <w:tcBorders>
              <w:top w:val="nil"/>
              <w:left w:val="nil"/>
              <w:bottom w:val="single" w:color="auto" w:sz="4" w:space="0"/>
              <w:right w:val="single" w:color="auto" w:sz="4" w:space="0"/>
            </w:tcBorders>
            <w:shd w:val="clear" w:color="000000" w:fill="FFFFFF"/>
            <w:vAlign w:val="center"/>
          </w:tcPr>
          <w:p w14:paraId="01178F7C">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刘本培</w:t>
            </w:r>
          </w:p>
        </w:tc>
        <w:tc>
          <w:tcPr>
            <w:tcW w:w="0" w:type="auto"/>
            <w:tcBorders>
              <w:top w:val="nil"/>
              <w:left w:val="nil"/>
              <w:bottom w:val="single" w:color="auto" w:sz="4" w:space="0"/>
              <w:right w:val="single" w:color="auto" w:sz="4" w:space="0"/>
            </w:tcBorders>
            <w:shd w:val="clear" w:color="000000" w:fill="FFFFFF"/>
            <w:vAlign w:val="center"/>
          </w:tcPr>
          <w:p w14:paraId="7FE84303">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中国地质大学</w:t>
            </w:r>
          </w:p>
        </w:tc>
        <w:tc>
          <w:tcPr>
            <w:tcW w:w="0" w:type="auto"/>
            <w:tcBorders>
              <w:top w:val="nil"/>
              <w:left w:val="nil"/>
              <w:bottom w:val="single" w:color="auto" w:sz="4" w:space="0"/>
              <w:right w:val="single" w:color="auto" w:sz="4" w:space="0"/>
            </w:tcBorders>
            <w:shd w:val="clear" w:color="000000" w:fill="FFFFFF"/>
            <w:vAlign w:val="center"/>
          </w:tcPr>
          <w:p w14:paraId="0C5FC86C">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51989FB0">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26</w:t>
            </w:r>
          </w:p>
        </w:tc>
      </w:tr>
      <w:tr w14:paraId="5CE4E847">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2DCFA529">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p>
        </w:tc>
        <w:tc>
          <w:tcPr>
            <w:tcW w:w="0" w:type="auto"/>
            <w:tcBorders>
              <w:top w:val="nil"/>
              <w:left w:val="nil"/>
              <w:bottom w:val="single" w:color="auto" w:sz="4" w:space="0"/>
              <w:right w:val="single" w:color="auto" w:sz="4" w:space="0"/>
            </w:tcBorders>
            <w:shd w:val="clear" w:color="000000" w:fill="FFFFFF"/>
            <w:vAlign w:val="center"/>
          </w:tcPr>
          <w:p w14:paraId="11FFD9EF">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中华诗词之美</w:t>
            </w:r>
          </w:p>
        </w:tc>
        <w:tc>
          <w:tcPr>
            <w:tcW w:w="0" w:type="auto"/>
            <w:tcBorders>
              <w:top w:val="nil"/>
              <w:left w:val="nil"/>
              <w:bottom w:val="single" w:color="auto" w:sz="4" w:space="0"/>
              <w:right w:val="single" w:color="auto" w:sz="4" w:space="0"/>
            </w:tcBorders>
            <w:shd w:val="clear" w:color="000000" w:fill="FFFFFF"/>
            <w:vAlign w:val="center"/>
          </w:tcPr>
          <w:p w14:paraId="1F58569B">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叶嘉莹</w:t>
            </w:r>
          </w:p>
        </w:tc>
        <w:tc>
          <w:tcPr>
            <w:tcW w:w="0" w:type="auto"/>
            <w:tcBorders>
              <w:top w:val="nil"/>
              <w:left w:val="nil"/>
              <w:bottom w:val="single" w:color="auto" w:sz="4" w:space="0"/>
              <w:right w:val="single" w:color="auto" w:sz="4" w:space="0"/>
            </w:tcBorders>
            <w:shd w:val="clear" w:color="000000" w:fill="FFFFFF"/>
            <w:vAlign w:val="center"/>
          </w:tcPr>
          <w:p w14:paraId="1AFF354E">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南开大学</w:t>
            </w:r>
          </w:p>
        </w:tc>
        <w:tc>
          <w:tcPr>
            <w:tcW w:w="0" w:type="auto"/>
            <w:tcBorders>
              <w:top w:val="nil"/>
              <w:left w:val="nil"/>
              <w:bottom w:val="single" w:color="auto" w:sz="4" w:space="0"/>
              <w:right w:val="single" w:color="auto" w:sz="4" w:space="0"/>
            </w:tcBorders>
            <w:shd w:val="clear" w:color="000000" w:fill="FFFFFF"/>
            <w:vAlign w:val="center"/>
          </w:tcPr>
          <w:p w14:paraId="4BAC9F44">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3866DAC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28</w:t>
            </w:r>
          </w:p>
        </w:tc>
      </w:tr>
      <w:tr w14:paraId="46AD330F">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54AFC4A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w:t>
            </w:r>
          </w:p>
        </w:tc>
        <w:tc>
          <w:tcPr>
            <w:tcW w:w="0" w:type="auto"/>
            <w:tcBorders>
              <w:top w:val="nil"/>
              <w:left w:val="nil"/>
              <w:bottom w:val="single" w:color="auto" w:sz="4" w:space="0"/>
              <w:right w:val="single" w:color="auto" w:sz="4" w:space="0"/>
            </w:tcBorders>
            <w:shd w:val="clear" w:color="000000" w:fill="FFFFFF"/>
            <w:vAlign w:val="center"/>
          </w:tcPr>
          <w:p w14:paraId="76184B34">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移动互联网时代的信息安全与防护</w:t>
            </w:r>
          </w:p>
        </w:tc>
        <w:tc>
          <w:tcPr>
            <w:tcW w:w="0" w:type="auto"/>
            <w:tcBorders>
              <w:top w:val="nil"/>
              <w:left w:val="nil"/>
              <w:bottom w:val="single" w:color="auto" w:sz="4" w:space="0"/>
              <w:right w:val="single" w:color="auto" w:sz="4" w:space="0"/>
            </w:tcBorders>
            <w:shd w:val="clear" w:color="000000" w:fill="FFFFFF"/>
            <w:vAlign w:val="center"/>
          </w:tcPr>
          <w:p w14:paraId="1D09F27E">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陈波</w:t>
            </w:r>
          </w:p>
        </w:tc>
        <w:tc>
          <w:tcPr>
            <w:tcW w:w="0" w:type="auto"/>
            <w:tcBorders>
              <w:top w:val="nil"/>
              <w:left w:val="nil"/>
              <w:bottom w:val="single" w:color="auto" w:sz="4" w:space="0"/>
              <w:right w:val="single" w:color="auto" w:sz="4" w:space="0"/>
            </w:tcBorders>
            <w:shd w:val="clear" w:color="000000" w:fill="FFFFFF"/>
            <w:vAlign w:val="center"/>
          </w:tcPr>
          <w:p w14:paraId="21A89521">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南京师范大学</w:t>
            </w:r>
          </w:p>
        </w:tc>
        <w:tc>
          <w:tcPr>
            <w:tcW w:w="0" w:type="auto"/>
            <w:tcBorders>
              <w:top w:val="nil"/>
              <w:left w:val="nil"/>
              <w:bottom w:val="single" w:color="auto" w:sz="4" w:space="0"/>
              <w:right w:val="single" w:color="auto" w:sz="4" w:space="0"/>
            </w:tcBorders>
            <w:shd w:val="clear" w:color="000000" w:fill="FFFFFF"/>
            <w:vAlign w:val="center"/>
          </w:tcPr>
          <w:p w14:paraId="5B6DE62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757" w:type="dxa"/>
            <w:tcBorders>
              <w:top w:val="nil"/>
              <w:left w:val="nil"/>
              <w:bottom w:val="single" w:color="auto" w:sz="4" w:space="0"/>
              <w:right w:val="single" w:color="auto" w:sz="4" w:space="0"/>
            </w:tcBorders>
            <w:shd w:val="clear" w:color="000000" w:fill="FFFFFF"/>
            <w:vAlign w:val="center"/>
          </w:tcPr>
          <w:p w14:paraId="22237E3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w:t>
            </w:r>
          </w:p>
        </w:tc>
      </w:tr>
      <w:tr w14:paraId="2D5C709F">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7D8C99B1">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6</w:t>
            </w:r>
          </w:p>
        </w:tc>
        <w:tc>
          <w:tcPr>
            <w:tcW w:w="0" w:type="auto"/>
            <w:tcBorders>
              <w:top w:val="nil"/>
              <w:left w:val="nil"/>
              <w:bottom w:val="single" w:color="auto" w:sz="4" w:space="0"/>
              <w:right w:val="single" w:color="auto" w:sz="4" w:space="0"/>
            </w:tcBorders>
            <w:shd w:val="clear" w:color="000000" w:fill="FFFFFF"/>
            <w:vAlign w:val="center"/>
          </w:tcPr>
          <w:p w14:paraId="15F113F0">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西方美术欣赏</w:t>
            </w:r>
          </w:p>
        </w:tc>
        <w:tc>
          <w:tcPr>
            <w:tcW w:w="0" w:type="auto"/>
            <w:tcBorders>
              <w:top w:val="nil"/>
              <w:left w:val="nil"/>
              <w:bottom w:val="single" w:color="auto" w:sz="4" w:space="0"/>
              <w:right w:val="single" w:color="auto" w:sz="4" w:space="0"/>
            </w:tcBorders>
            <w:shd w:val="clear" w:color="000000" w:fill="FFFFFF"/>
            <w:vAlign w:val="center"/>
          </w:tcPr>
          <w:p w14:paraId="5C96A2BF">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孙乃树</w:t>
            </w:r>
          </w:p>
        </w:tc>
        <w:tc>
          <w:tcPr>
            <w:tcW w:w="0" w:type="auto"/>
            <w:tcBorders>
              <w:top w:val="nil"/>
              <w:left w:val="nil"/>
              <w:bottom w:val="single" w:color="auto" w:sz="4" w:space="0"/>
              <w:right w:val="single" w:color="auto" w:sz="4" w:space="0"/>
            </w:tcBorders>
            <w:shd w:val="clear" w:color="000000" w:fill="FFFFFF"/>
            <w:vAlign w:val="center"/>
          </w:tcPr>
          <w:p w14:paraId="19EE5AF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华东师范大学</w:t>
            </w:r>
          </w:p>
        </w:tc>
        <w:tc>
          <w:tcPr>
            <w:tcW w:w="0" w:type="auto"/>
            <w:tcBorders>
              <w:top w:val="nil"/>
              <w:left w:val="nil"/>
              <w:bottom w:val="single" w:color="auto" w:sz="4" w:space="0"/>
              <w:right w:val="single" w:color="auto" w:sz="4" w:space="0"/>
            </w:tcBorders>
            <w:shd w:val="clear" w:color="000000" w:fill="FFFFFF"/>
            <w:vAlign w:val="center"/>
          </w:tcPr>
          <w:p w14:paraId="6823BC6B">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3E005227">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30</w:t>
            </w:r>
          </w:p>
        </w:tc>
      </w:tr>
      <w:tr w14:paraId="5E7C4B42">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4E593E0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7</w:t>
            </w:r>
          </w:p>
        </w:tc>
        <w:tc>
          <w:tcPr>
            <w:tcW w:w="0" w:type="auto"/>
            <w:tcBorders>
              <w:top w:val="nil"/>
              <w:left w:val="nil"/>
              <w:bottom w:val="single" w:color="auto" w:sz="4" w:space="0"/>
              <w:right w:val="single" w:color="auto" w:sz="4" w:space="0"/>
            </w:tcBorders>
            <w:shd w:val="clear" w:color="000000" w:fill="FFFFFF"/>
            <w:vAlign w:val="center"/>
          </w:tcPr>
          <w:p w14:paraId="50AE8510">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从“愚昧”到“科学”-科学技术简史</w:t>
            </w:r>
          </w:p>
        </w:tc>
        <w:tc>
          <w:tcPr>
            <w:tcW w:w="0" w:type="auto"/>
            <w:tcBorders>
              <w:top w:val="nil"/>
              <w:left w:val="nil"/>
              <w:bottom w:val="single" w:color="auto" w:sz="4" w:space="0"/>
              <w:right w:val="single" w:color="auto" w:sz="4" w:space="0"/>
            </w:tcBorders>
            <w:shd w:val="clear" w:color="000000" w:fill="FFFFFF"/>
            <w:vAlign w:val="center"/>
          </w:tcPr>
          <w:p w14:paraId="523398D1">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雷毅、杨舰、冯立升、戴吾三、蒋劲松、鲍 鸥、刘 兵</w:t>
            </w:r>
          </w:p>
        </w:tc>
        <w:tc>
          <w:tcPr>
            <w:tcW w:w="0" w:type="auto"/>
            <w:tcBorders>
              <w:top w:val="nil"/>
              <w:left w:val="nil"/>
              <w:bottom w:val="single" w:color="auto" w:sz="4" w:space="0"/>
              <w:right w:val="single" w:color="auto" w:sz="4" w:space="0"/>
            </w:tcBorders>
            <w:shd w:val="clear" w:color="000000" w:fill="FFFFFF"/>
            <w:vAlign w:val="center"/>
          </w:tcPr>
          <w:p w14:paraId="207A7A3F">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清华大学</w:t>
            </w:r>
          </w:p>
        </w:tc>
        <w:tc>
          <w:tcPr>
            <w:tcW w:w="0" w:type="auto"/>
            <w:tcBorders>
              <w:top w:val="nil"/>
              <w:left w:val="nil"/>
              <w:bottom w:val="single" w:color="auto" w:sz="4" w:space="0"/>
              <w:right w:val="single" w:color="auto" w:sz="4" w:space="0"/>
            </w:tcBorders>
            <w:shd w:val="clear" w:color="000000" w:fill="FFFFFF"/>
            <w:vAlign w:val="center"/>
          </w:tcPr>
          <w:p w14:paraId="15B08115">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757" w:type="dxa"/>
            <w:tcBorders>
              <w:top w:val="nil"/>
              <w:left w:val="nil"/>
              <w:bottom w:val="single" w:color="auto" w:sz="4" w:space="0"/>
              <w:right w:val="single" w:color="auto" w:sz="4" w:space="0"/>
            </w:tcBorders>
            <w:shd w:val="clear" w:color="000000" w:fill="FFFFFF"/>
            <w:vAlign w:val="center"/>
          </w:tcPr>
          <w:p w14:paraId="2F54ACF7">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35</w:t>
            </w:r>
          </w:p>
        </w:tc>
      </w:tr>
      <w:tr w14:paraId="24159012">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61600069">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8</w:t>
            </w:r>
          </w:p>
        </w:tc>
        <w:tc>
          <w:tcPr>
            <w:tcW w:w="0" w:type="auto"/>
            <w:tcBorders>
              <w:top w:val="nil"/>
              <w:left w:val="nil"/>
              <w:bottom w:val="single" w:color="auto" w:sz="4" w:space="0"/>
              <w:right w:val="single" w:color="auto" w:sz="4" w:space="0"/>
            </w:tcBorders>
            <w:shd w:val="clear" w:color="000000" w:fill="FFFFFF"/>
            <w:vAlign w:val="center"/>
          </w:tcPr>
          <w:p w14:paraId="3AFCA964">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从爱因斯坦到霍金的宇宙</w:t>
            </w:r>
          </w:p>
        </w:tc>
        <w:tc>
          <w:tcPr>
            <w:tcW w:w="0" w:type="auto"/>
            <w:tcBorders>
              <w:top w:val="nil"/>
              <w:left w:val="nil"/>
              <w:bottom w:val="single" w:color="auto" w:sz="4" w:space="0"/>
              <w:right w:val="single" w:color="auto" w:sz="4" w:space="0"/>
            </w:tcBorders>
            <w:shd w:val="clear" w:color="000000" w:fill="FFFFFF"/>
            <w:vAlign w:val="center"/>
          </w:tcPr>
          <w:p w14:paraId="09FB34B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赵峥</w:t>
            </w:r>
          </w:p>
        </w:tc>
        <w:tc>
          <w:tcPr>
            <w:tcW w:w="0" w:type="auto"/>
            <w:tcBorders>
              <w:top w:val="nil"/>
              <w:left w:val="nil"/>
              <w:bottom w:val="single" w:color="auto" w:sz="4" w:space="0"/>
              <w:right w:val="single" w:color="auto" w:sz="4" w:space="0"/>
            </w:tcBorders>
            <w:shd w:val="clear" w:color="000000" w:fill="FFFFFF"/>
            <w:vAlign w:val="center"/>
          </w:tcPr>
          <w:p w14:paraId="05227D6B">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北京师范大学</w:t>
            </w:r>
          </w:p>
        </w:tc>
        <w:tc>
          <w:tcPr>
            <w:tcW w:w="0" w:type="auto"/>
            <w:tcBorders>
              <w:top w:val="nil"/>
              <w:left w:val="nil"/>
              <w:bottom w:val="single" w:color="auto" w:sz="4" w:space="0"/>
              <w:right w:val="single" w:color="auto" w:sz="4" w:space="0"/>
            </w:tcBorders>
            <w:shd w:val="clear" w:color="000000" w:fill="FFFFFF"/>
            <w:vAlign w:val="center"/>
          </w:tcPr>
          <w:p w14:paraId="17322E0B">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7B1D0A00">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23</w:t>
            </w:r>
          </w:p>
        </w:tc>
      </w:tr>
      <w:tr w14:paraId="745420A3">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6A44D5E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9</w:t>
            </w:r>
          </w:p>
        </w:tc>
        <w:tc>
          <w:tcPr>
            <w:tcW w:w="0" w:type="auto"/>
            <w:tcBorders>
              <w:top w:val="nil"/>
              <w:left w:val="nil"/>
              <w:bottom w:val="single" w:color="auto" w:sz="4" w:space="0"/>
              <w:right w:val="single" w:color="auto" w:sz="4" w:space="0"/>
            </w:tcBorders>
            <w:shd w:val="clear" w:color="000000" w:fill="FFFFFF"/>
            <w:vAlign w:val="center"/>
          </w:tcPr>
          <w:p w14:paraId="6DD01208">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中国古典小说巅峰：四大名著鉴赏</w:t>
            </w:r>
          </w:p>
        </w:tc>
        <w:tc>
          <w:tcPr>
            <w:tcW w:w="0" w:type="auto"/>
            <w:tcBorders>
              <w:top w:val="nil"/>
              <w:left w:val="nil"/>
              <w:bottom w:val="single" w:color="auto" w:sz="4" w:space="0"/>
              <w:right w:val="single" w:color="auto" w:sz="4" w:space="0"/>
            </w:tcBorders>
            <w:shd w:val="clear" w:color="000000" w:fill="FFFFFF"/>
            <w:vAlign w:val="center"/>
          </w:tcPr>
          <w:p w14:paraId="62509F6F">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蔡义江、侯会、段启明、袁世硕</w:t>
            </w:r>
          </w:p>
        </w:tc>
        <w:tc>
          <w:tcPr>
            <w:tcW w:w="0" w:type="auto"/>
            <w:tcBorders>
              <w:top w:val="nil"/>
              <w:left w:val="nil"/>
              <w:bottom w:val="single" w:color="auto" w:sz="4" w:space="0"/>
              <w:right w:val="single" w:color="auto" w:sz="4" w:space="0"/>
            </w:tcBorders>
            <w:shd w:val="clear" w:color="000000" w:fill="FFFFFF"/>
            <w:vAlign w:val="center"/>
          </w:tcPr>
          <w:p w14:paraId="4A01602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中国红楼梦学会、首都师范大学、首都师范大学、山东大学</w:t>
            </w:r>
          </w:p>
        </w:tc>
        <w:tc>
          <w:tcPr>
            <w:tcW w:w="0" w:type="auto"/>
            <w:tcBorders>
              <w:top w:val="nil"/>
              <w:left w:val="nil"/>
              <w:bottom w:val="single" w:color="auto" w:sz="4" w:space="0"/>
              <w:right w:val="single" w:color="auto" w:sz="4" w:space="0"/>
            </w:tcBorders>
            <w:shd w:val="clear" w:color="000000" w:fill="FFFFFF"/>
            <w:vAlign w:val="center"/>
          </w:tcPr>
          <w:p w14:paraId="31D1C707">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w:t>
            </w:r>
          </w:p>
        </w:tc>
        <w:tc>
          <w:tcPr>
            <w:tcW w:w="757" w:type="dxa"/>
            <w:tcBorders>
              <w:top w:val="nil"/>
              <w:left w:val="nil"/>
              <w:bottom w:val="single" w:color="auto" w:sz="4" w:space="0"/>
              <w:right w:val="single" w:color="auto" w:sz="4" w:space="0"/>
            </w:tcBorders>
            <w:shd w:val="clear" w:color="000000" w:fill="FFFFFF"/>
            <w:vAlign w:val="center"/>
          </w:tcPr>
          <w:p w14:paraId="57CD26B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56</w:t>
            </w:r>
          </w:p>
        </w:tc>
      </w:tr>
      <w:tr w14:paraId="15B24EC0">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5A74F05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10</w:t>
            </w:r>
          </w:p>
        </w:tc>
        <w:tc>
          <w:tcPr>
            <w:tcW w:w="0" w:type="auto"/>
            <w:tcBorders>
              <w:top w:val="nil"/>
              <w:left w:val="nil"/>
              <w:bottom w:val="single" w:color="auto" w:sz="4" w:space="0"/>
              <w:right w:val="single" w:color="auto" w:sz="4" w:space="0"/>
            </w:tcBorders>
            <w:shd w:val="clear" w:color="000000" w:fill="FFFFFF"/>
            <w:vAlign w:val="center"/>
          </w:tcPr>
          <w:p w14:paraId="533545CC">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宋崇导演教你拍摄微电影</w:t>
            </w:r>
          </w:p>
        </w:tc>
        <w:tc>
          <w:tcPr>
            <w:tcW w:w="0" w:type="auto"/>
            <w:tcBorders>
              <w:top w:val="nil"/>
              <w:left w:val="nil"/>
              <w:bottom w:val="single" w:color="auto" w:sz="4" w:space="0"/>
              <w:right w:val="single" w:color="auto" w:sz="4" w:space="0"/>
            </w:tcBorders>
            <w:shd w:val="clear" w:color="000000" w:fill="FFFFFF"/>
            <w:vAlign w:val="center"/>
          </w:tcPr>
          <w:p w14:paraId="3DC3772E">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宋崇</w:t>
            </w:r>
          </w:p>
        </w:tc>
        <w:tc>
          <w:tcPr>
            <w:tcW w:w="0" w:type="auto"/>
            <w:tcBorders>
              <w:top w:val="nil"/>
              <w:left w:val="nil"/>
              <w:bottom w:val="single" w:color="auto" w:sz="4" w:space="0"/>
              <w:right w:val="single" w:color="auto" w:sz="4" w:space="0"/>
            </w:tcBorders>
            <w:shd w:val="clear" w:color="000000" w:fill="FFFFFF"/>
            <w:vAlign w:val="center"/>
          </w:tcPr>
          <w:p w14:paraId="0EBFF1E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同济大学</w:t>
            </w:r>
          </w:p>
        </w:tc>
        <w:tc>
          <w:tcPr>
            <w:tcW w:w="0" w:type="auto"/>
            <w:tcBorders>
              <w:top w:val="nil"/>
              <w:left w:val="nil"/>
              <w:bottom w:val="single" w:color="auto" w:sz="4" w:space="0"/>
              <w:right w:val="single" w:color="auto" w:sz="4" w:space="0"/>
            </w:tcBorders>
            <w:shd w:val="clear" w:color="000000" w:fill="FFFFFF"/>
            <w:vAlign w:val="center"/>
          </w:tcPr>
          <w:p w14:paraId="74B03515">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26F164BC">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25</w:t>
            </w:r>
          </w:p>
        </w:tc>
      </w:tr>
      <w:tr w14:paraId="6C6E787C">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7483D60B">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11</w:t>
            </w:r>
          </w:p>
        </w:tc>
        <w:tc>
          <w:tcPr>
            <w:tcW w:w="0" w:type="auto"/>
            <w:tcBorders>
              <w:top w:val="nil"/>
              <w:left w:val="nil"/>
              <w:bottom w:val="single" w:color="auto" w:sz="4" w:space="0"/>
              <w:right w:val="single" w:color="auto" w:sz="4" w:space="0"/>
            </w:tcBorders>
            <w:shd w:val="clear" w:color="000000" w:fill="FFFFFF"/>
            <w:vAlign w:val="center"/>
          </w:tcPr>
          <w:p w14:paraId="00B749F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九型人格之职场心理</w:t>
            </w:r>
          </w:p>
        </w:tc>
        <w:tc>
          <w:tcPr>
            <w:tcW w:w="0" w:type="auto"/>
            <w:tcBorders>
              <w:top w:val="nil"/>
              <w:left w:val="nil"/>
              <w:bottom w:val="single" w:color="auto" w:sz="4" w:space="0"/>
              <w:right w:val="single" w:color="auto" w:sz="4" w:space="0"/>
            </w:tcBorders>
            <w:shd w:val="clear" w:color="000000" w:fill="FFFFFF"/>
            <w:vAlign w:val="center"/>
          </w:tcPr>
          <w:p w14:paraId="129DB78B">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洪新</w:t>
            </w:r>
          </w:p>
        </w:tc>
        <w:tc>
          <w:tcPr>
            <w:tcW w:w="0" w:type="auto"/>
            <w:tcBorders>
              <w:top w:val="nil"/>
              <w:left w:val="nil"/>
              <w:bottom w:val="single" w:color="auto" w:sz="4" w:space="0"/>
              <w:right w:val="single" w:color="auto" w:sz="4" w:space="0"/>
            </w:tcBorders>
            <w:shd w:val="clear" w:color="000000" w:fill="FFFFFF"/>
            <w:vAlign w:val="center"/>
          </w:tcPr>
          <w:p w14:paraId="4796FA0E">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中国九型人格导师协会</w:t>
            </w:r>
          </w:p>
        </w:tc>
        <w:tc>
          <w:tcPr>
            <w:tcW w:w="0" w:type="auto"/>
            <w:tcBorders>
              <w:top w:val="nil"/>
              <w:left w:val="nil"/>
              <w:bottom w:val="single" w:color="auto" w:sz="4" w:space="0"/>
              <w:right w:val="single" w:color="auto" w:sz="4" w:space="0"/>
            </w:tcBorders>
            <w:shd w:val="clear" w:color="000000" w:fill="FFFFFF"/>
            <w:vAlign w:val="center"/>
          </w:tcPr>
          <w:p w14:paraId="0603D706">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5C5CBA9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27</w:t>
            </w:r>
          </w:p>
        </w:tc>
      </w:tr>
      <w:tr w14:paraId="67D90C1B">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65111A24">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12</w:t>
            </w:r>
          </w:p>
        </w:tc>
        <w:tc>
          <w:tcPr>
            <w:tcW w:w="0" w:type="auto"/>
            <w:tcBorders>
              <w:top w:val="nil"/>
              <w:left w:val="nil"/>
              <w:bottom w:val="single" w:color="auto" w:sz="4" w:space="0"/>
              <w:right w:val="single" w:color="auto" w:sz="4" w:space="0"/>
            </w:tcBorders>
            <w:shd w:val="clear" w:color="000000" w:fill="FFFFFF"/>
            <w:vAlign w:val="center"/>
          </w:tcPr>
          <w:p w14:paraId="5C24C2E6">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动手学 AI：人工智能通识与实践（人文艺术版）</w:t>
            </w:r>
          </w:p>
        </w:tc>
        <w:tc>
          <w:tcPr>
            <w:tcW w:w="0" w:type="auto"/>
            <w:tcBorders>
              <w:top w:val="single" w:color="auto" w:sz="4" w:space="0"/>
              <w:left w:val="nil"/>
              <w:bottom w:val="single" w:color="auto" w:sz="4" w:space="0"/>
              <w:right w:val="single" w:color="auto" w:sz="4" w:space="0"/>
            </w:tcBorders>
            <w:shd w:val="clear" w:color="000000" w:fill="FFFFFF"/>
            <w:vAlign w:val="center"/>
          </w:tcPr>
          <w:p w14:paraId="0955DA0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周志华等</w:t>
            </w:r>
          </w:p>
        </w:tc>
        <w:tc>
          <w:tcPr>
            <w:tcW w:w="0" w:type="auto"/>
            <w:tcBorders>
              <w:top w:val="nil"/>
              <w:left w:val="nil"/>
              <w:bottom w:val="single" w:color="auto" w:sz="4" w:space="0"/>
              <w:right w:val="single" w:color="auto" w:sz="4" w:space="0"/>
            </w:tcBorders>
            <w:shd w:val="clear" w:color="000000" w:fill="FFFFFF"/>
            <w:vAlign w:val="center"/>
          </w:tcPr>
          <w:p w14:paraId="3D993A25">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南京大学、北京大学、浙江大学</w:t>
            </w:r>
          </w:p>
        </w:tc>
        <w:tc>
          <w:tcPr>
            <w:tcW w:w="0" w:type="auto"/>
            <w:tcBorders>
              <w:top w:val="nil"/>
              <w:left w:val="nil"/>
              <w:bottom w:val="single" w:color="auto" w:sz="4" w:space="0"/>
              <w:right w:val="single" w:color="auto" w:sz="4" w:space="0"/>
            </w:tcBorders>
            <w:shd w:val="clear" w:color="000000" w:fill="FFFFFF"/>
            <w:vAlign w:val="center"/>
          </w:tcPr>
          <w:p w14:paraId="3A5878DB">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院士、教授</w:t>
            </w:r>
          </w:p>
        </w:tc>
        <w:tc>
          <w:tcPr>
            <w:tcW w:w="757" w:type="dxa"/>
            <w:tcBorders>
              <w:top w:val="nil"/>
              <w:left w:val="nil"/>
              <w:bottom w:val="single" w:color="auto" w:sz="4" w:space="0"/>
              <w:right w:val="single" w:color="auto" w:sz="4" w:space="0"/>
            </w:tcBorders>
            <w:shd w:val="clear" w:color="000000" w:fill="FFFFFF"/>
            <w:vAlign w:val="center"/>
          </w:tcPr>
          <w:p w14:paraId="6F21341C">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2</w:t>
            </w:r>
          </w:p>
        </w:tc>
      </w:tr>
      <w:tr w14:paraId="39246557">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0CB2646B">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w:t>
            </w:r>
          </w:p>
        </w:tc>
        <w:tc>
          <w:tcPr>
            <w:tcW w:w="0" w:type="auto"/>
            <w:tcBorders>
              <w:top w:val="nil"/>
              <w:left w:val="nil"/>
              <w:bottom w:val="single" w:color="auto" w:sz="4" w:space="0"/>
              <w:right w:val="single" w:color="auto" w:sz="4" w:space="0"/>
            </w:tcBorders>
            <w:shd w:val="clear" w:color="000000" w:fill="FFFFFF"/>
            <w:vAlign w:val="center"/>
          </w:tcPr>
          <w:p w14:paraId="32C312F8">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大学生创业导论</w:t>
            </w:r>
          </w:p>
        </w:tc>
        <w:tc>
          <w:tcPr>
            <w:tcW w:w="0" w:type="auto"/>
            <w:tcBorders>
              <w:top w:val="nil"/>
              <w:left w:val="nil"/>
              <w:bottom w:val="single" w:color="auto" w:sz="4" w:space="0"/>
              <w:right w:val="single" w:color="auto" w:sz="4" w:space="0"/>
            </w:tcBorders>
            <w:shd w:val="clear" w:color="000000" w:fill="FFFFFF"/>
            <w:vAlign w:val="center"/>
          </w:tcPr>
          <w:p w14:paraId="00BB937B">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姚凯</w:t>
            </w:r>
          </w:p>
        </w:tc>
        <w:tc>
          <w:tcPr>
            <w:tcW w:w="0" w:type="auto"/>
            <w:tcBorders>
              <w:top w:val="nil"/>
              <w:left w:val="nil"/>
              <w:bottom w:val="single" w:color="auto" w:sz="4" w:space="0"/>
              <w:right w:val="single" w:color="auto" w:sz="4" w:space="0"/>
            </w:tcBorders>
            <w:shd w:val="clear" w:color="000000" w:fill="FFFFFF"/>
            <w:vAlign w:val="center"/>
          </w:tcPr>
          <w:p w14:paraId="371591ED">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复旦大学</w:t>
            </w:r>
          </w:p>
        </w:tc>
        <w:tc>
          <w:tcPr>
            <w:tcW w:w="0" w:type="auto"/>
            <w:tcBorders>
              <w:top w:val="nil"/>
              <w:left w:val="nil"/>
              <w:bottom w:val="single" w:color="auto" w:sz="4" w:space="0"/>
              <w:right w:val="single" w:color="auto" w:sz="4" w:space="0"/>
            </w:tcBorders>
            <w:shd w:val="clear" w:color="000000" w:fill="FFFFFF"/>
            <w:vAlign w:val="center"/>
          </w:tcPr>
          <w:p w14:paraId="518C0C70">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04C5F3B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27</w:t>
            </w:r>
          </w:p>
        </w:tc>
      </w:tr>
      <w:tr w14:paraId="1EFF7C71">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44507F9D">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14</w:t>
            </w:r>
          </w:p>
        </w:tc>
        <w:tc>
          <w:tcPr>
            <w:tcW w:w="0" w:type="auto"/>
            <w:tcBorders>
              <w:top w:val="nil"/>
              <w:left w:val="nil"/>
              <w:bottom w:val="single" w:color="auto" w:sz="4" w:space="0"/>
              <w:right w:val="single" w:color="auto" w:sz="4" w:space="0"/>
            </w:tcBorders>
            <w:shd w:val="clear" w:color="000000" w:fill="FFFFFF"/>
            <w:vAlign w:val="center"/>
          </w:tcPr>
          <w:p w14:paraId="5F3C8F0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批判思维导论</w:t>
            </w:r>
          </w:p>
        </w:tc>
        <w:tc>
          <w:tcPr>
            <w:tcW w:w="0" w:type="auto"/>
            <w:tcBorders>
              <w:top w:val="nil"/>
              <w:left w:val="nil"/>
              <w:bottom w:val="single" w:color="auto" w:sz="4" w:space="0"/>
              <w:right w:val="single" w:color="auto" w:sz="4" w:space="0"/>
            </w:tcBorders>
            <w:shd w:val="clear" w:color="000000" w:fill="FFFFFF"/>
            <w:vAlign w:val="center"/>
          </w:tcPr>
          <w:p w14:paraId="314846C7">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熊明辉</w:t>
            </w:r>
          </w:p>
        </w:tc>
        <w:tc>
          <w:tcPr>
            <w:tcW w:w="0" w:type="auto"/>
            <w:tcBorders>
              <w:top w:val="nil"/>
              <w:left w:val="nil"/>
              <w:bottom w:val="single" w:color="auto" w:sz="4" w:space="0"/>
              <w:right w:val="single" w:color="auto" w:sz="4" w:space="0"/>
            </w:tcBorders>
            <w:shd w:val="clear" w:color="000000" w:fill="FFFFFF"/>
            <w:vAlign w:val="center"/>
          </w:tcPr>
          <w:p w14:paraId="3CD01975">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中山大学</w:t>
            </w:r>
          </w:p>
        </w:tc>
        <w:tc>
          <w:tcPr>
            <w:tcW w:w="0" w:type="auto"/>
            <w:tcBorders>
              <w:top w:val="nil"/>
              <w:left w:val="nil"/>
              <w:bottom w:val="single" w:color="auto" w:sz="4" w:space="0"/>
              <w:right w:val="single" w:color="auto" w:sz="4" w:space="0"/>
            </w:tcBorders>
            <w:shd w:val="clear" w:color="000000" w:fill="FFFFFF"/>
            <w:vAlign w:val="center"/>
          </w:tcPr>
          <w:p w14:paraId="166D7D31">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757" w:type="dxa"/>
            <w:tcBorders>
              <w:top w:val="nil"/>
              <w:left w:val="nil"/>
              <w:bottom w:val="single" w:color="auto" w:sz="4" w:space="0"/>
              <w:right w:val="single" w:color="auto" w:sz="4" w:space="0"/>
            </w:tcBorders>
            <w:shd w:val="clear" w:color="000000" w:fill="FFFFFF"/>
            <w:vAlign w:val="center"/>
          </w:tcPr>
          <w:p w14:paraId="0168728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10</w:t>
            </w:r>
          </w:p>
        </w:tc>
      </w:tr>
      <w:tr w14:paraId="34CFB18D">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4A55C02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15</w:t>
            </w:r>
          </w:p>
        </w:tc>
        <w:tc>
          <w:tcPr>
            <w:tcW w:w="0" w:type="auto"/>
            <w:tcBorders>
              <w:top w:val="nil"/>
              <w:left w:val="nil"/>
              <w:bottom w:val="single" w:color="auto" w:sz="4" w:space="0"/>
              <w:right w:val="single" w:color="auto" w:sz="4" w:space="0"/>
            </w:tcBorders>
            <w:shd w:val="clear" w:color="000000" w:fill="FFFFFF"/>
            <w:vAlign w:val="center"/>
          </w:tcPr>
          <w:p w14:paraId="56B8CFD3">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大学生创新基础</w:t>
            </w:r>
          </w:p>
        </w:tc>
        <w:tc>
          <w:tcPr>
            <w:tcW w:w="0" w:type="auto"/>
            <w:tcBorders>
              <w:top w:val="nil"/>
              <w:left w:val="nil"/>
              <w:bottom w:val="single" w:color="auto" w:sz="4" w:space="0"/>
              <w:right w:val="single" w:color="auto" w:sz="4" w:space="0"/>
            </w:tcBorders>
            <w:shd w:val="clear" w:color="000000" w:fill="FFFFFF"/>
            <w:vAlign w:val="center"/>
          </w:tcPr>
          <w:p w14:paraId="0B09B05E">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冯林、徐斌</w:t>
            </w:r>
          </w:p>
        </w:tc>
        <w:tc>
          <w:tcPr>
            <w:tcW w:w="0" w:type="auto"/>
            <w:tcBorders>
              <w:top w:val="nil"/>
              <w:left w:val="nil"/>
              <w:bottom w:val="single" w:color="auto" w:sz="4" w:space="0"/>
              <w:right w:val="single" w:color="auto" w:sz="4" w:space="0"/>
            </w:tcBorders>
            <w:shd w:val="clear" w:color="000000" w:fill="FFFFFF"/>
            <w:vAlign w:val="center"/>
          </w:tcPr>
          <w:p w14:paraId="0DBFAA0B">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大连理工大学、首都经济贸易大学</w:t>
            </w:r>
          </w:p>
        </w:tc>
        <w:tc>
          <w:tcPr>
            <w:tcW w:w="0" w:type="auto"/>
            <w:tcBorders>
              <w:top w:val="nil"/>
              <w:left w:val="nil"/>
              <w:bottom w:val="single" w:color="auto" w:sz="4" w:space="0"/>
              <w:right w:val="single" w:color="auto" w:sz="4" w:space="0"/>
            </w:tcBorders>
            <w:shd w:val="clear" w:color="000000" w:fill="FFFFFF"/>
            <w:vAlign w:val="center"/>
          </w:tcPr>
          <w:p w14:paraId="0CEB1BB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3292623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28</w:t>
            </w:r>
          </w:p>
        </w:tc>
      </w:tr>
      <w:tr w14:paraId="3AC0FC56">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1EDB3D9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16</w:t>
            </w:r>
          </w:p>
        </w:tc>
        <w:tc>
          <w:tcPr>
            <w:tcW w:w="0" w:type="auto"/>
            <w:tcBorders>
              <w:top w:val="nil"/>
              <w:left w:val="nil"/>
              <w:bottom w:val="single" w:color="auto" w:sz="4" w:space="0"/>
              <w:right w:val="single" w:color="auto" w:sz="4" w:space="0"/>
            </w:tcBorders>
            <w:shd w:val="clear" w:color="000000" w:fill="FFFFFF"/>
            <w:vAlign w:val="center"/>
          </w:tcPr>
          <w:p w14:paraId="5BD5F197">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批判与创意思考</w:t>
            </w:r>
          </w:p>
        </w:tc>
        <w:tc>
          <w:tcPr>
            <w:tcW w:w="0" w:type="auto"/>
            <w:tcBorders>
              <w:top w:val="nil"/>
              <w:left w:val="nil"/>
              <w:bottom w:val="single" w:color="auto" w:sz="4" w:space="0"/>
              <w:right w:val="single" w:color="auto" w:sz="4" w:space="0"/>
            </w:tcBorders>
            <w:shd w:val="clear" w:color="000000" w:fill="FFFFFF"/>
            <w:vAlign w:val="center"/>
          </w:tcPr>
          <w:p w14:paraId="39A208BF">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冯林</w:t>
            </w:r>
          </w:p>
        </w:tc>
        <w:tc>
          <w:tcPr>
            <w:tcW w:w="0" w:type="auto"/>
            <w:tcBorders>
              <w:top w:val="nil"/>
              <w:left w:val="nil"/>
              <w:bottom w:val="single" w:color="auto" w:sz="4" w:space="0"/>
              <w:right w:val="single" w:color="auto" w:sz="4" w:space="0"/>
            </w:tcBorders>
            <w:shd w:val="clear" w:color="000000" w:fill="FFFFFF"/>
            <w:vAlign w:val="center"/>
          </w:tcPr>
          <w:p w14:paraId="18364787">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大连理工大学</w:t>
            </w:r>
          </w:p>
        </w:tc>
        <w:tc>
          <w:tcPr>
            <w:tcW w:w="0" w:type="auto"/>
            <w:tcBorders>
              <w:top w:val="nil"/>
              <w:left w:val="nil"/>
              <w:bottom w:val="single" w:color="auto" w:sz="4" w:space="0"/>
              <w:right w:val="single" w:color="auto" w:sz="4" w:space="0"/>
            </w:tcBorders>
            <w:shd w:val="clear" w:color="000000" w:fill="FFFFFF"/>
            <w:vAlign w:val="center"/>
          </w:tcPr>
          <w:p w14:paraId="7562CC19">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6A3CD4EA">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24</w:t>
            </w:r>
          </w:p>
        </w:tc>
      </w:tr>
      <w:tr w14:paraId="29FE5DD5">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189D353A">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17</w:t>
            </w:r>
          </w:p>
        </w:tc>
        <w:tc>
          <w:tcPr>
            <w:tcW w:w="0" w:type="auto"/>
            <w:tcBorders>
              <w:top w:val="nil"/>
              <w:left w:val="nil"/>
              <w:bottom w:val="single" w:color="auto" w:sz="4" w:space="0"/>
              <w:right w:val="single" w:color="auto" w:sz="4" w:space="0"/>
            </w:tcBorders>
            <w:shd w:val="clear" w:color="000000" w:fill="FFFFFF"/>
            <w:vAlign w:val="center"/>
          </w:tcPr>
          <w:p w14:paraId="620FBE9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创新、发明与专利实务</w:t>
            </w:r>
          </w:p>
        </w:tc>
        <w:tc>
          <w:tcPr>
            <w:tcW w:w="0" w:type="auto"/>
            <w:tcBorders>
              <w:top w:val="nil"/>
              <w:left w:val="nil"/>
              <w:bottom w:val="single" w:color="auto" w:sz="4" w:space="0"/>
              <w:right w:val="single" w:color="auto" w:sz="4" w:space="0"/>
            </w:tcBorders>
            <w:shd w:val="clear" w:color="000000" w:fill="FFFFFF"/>
            <w:vAlign w:val="center"/>
          </w:tcPr>
          <w:p w14:paraId="110ED257">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毛国柱、白彦壮、张永杰</w:t>
            </w:r>
          </w:p>
        </w:tc>
        <w:tc>
          <w:tcPr>
            <w:tcW w:w="0" w:type="auto"/>
            <w:tcBorders>
              <w:top w:val="nil"/>
              <w:left w:val="nil"/>
              <w:bottom w:val="single" w:color="auto" w:sz="4" w:space="0"/>
              <w:right w:val="single" w:color="auto" w:sz="4" w:space="0"/>
            </w:tcBorders>
            <w:shd w:val="clear" w:color="000000" w:fill="FFFFFF"/>
            <w:vAlign w:val="center"/>
          </w:tcPr>
          <w:p w14:paraId="00A80B48">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天津大学</w:t>
            </w:r>
          </w:p>
        </w:tc>
        <w:tc>
          <w:tcPr>
            <w:tcW w:w="0" w:type="auto"/>
            <w:tcBorders>
              <w:top w:val="nil"/>
              <w:left w:val="nil"/>
              <w:bottom w:val="single" w:color="auto" w:sz="4" w:space="0"/>
              <w:right w:val="single" w:color="auto" w:sz="4" w:space="0"/>
            </w:tcBorders>
            <w:shd w:val="clear" w:color="000000" w:fill="FFFFFF"/>
            <w:vAlign w:val="center"/>
          </w:tcPr>
          <w:p w14:paraId="49C57B0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nil"/>
              <w:left w:val="nil"/>
              <w:bottom w:val="single" w:color="auto" w:sz="4" w:space="0"/>
              <w:right w:val="single" w:color="auto" w:sz="4" w:space="0"/>
            </w:tcBorders>
            <w:shd w:val="clear" w:color="000000" w:fill="FFFFFF"/>
            <w:vAlign w:val="center"/>
          </w:tcPr>
          <w:p w14:paraId="380EC73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26</w:t>
            </w:r>
          </w:p>
        </w:tc>
      </w:tr>
      <w:tr w14:paraId="4758F307">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1E6272B9">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18</w:t>
            </w:r>
          </w:p>
        </w:tc>
        <w:tc>
          <w:tcPr>
            <w:tcW w:w="0" w:type="auto"/>
            <w:tcBorders>
              <w:top w:val="nil"/>
              <w:left w:val="nil"/>
              <w:bottom w:val="single" w:color="auto" w:sz="4" w:space="0"/>
              <w:right w:val="single" w:color="auto" w:sz="4" w:space="0"/>
            </w:tcBorders>
            <w:shd w:val="clear" w:color="000000" w:fill="FFFFFF"/>
            <w:vAlign w:val="center"/>
          </w:tcPr>
          <w:p w14:paraId="41D7DB7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走进创业</w:t>
            </w:r>
          </w:p>
        </w:tc>
        <w:tc>
          <w:tcPr>
            <w:tcW w:w="0" w:type="auto"/>
            <w:tcBorders>
              <w:top w:val="nil"/>
              <w:left w:val="nil"/>
              <w:bottom w:val="single" w:color="auto" w:sz="4" w:space="0"/>
              <w:right w:val="single" w:color="auto" w:sz="4" w:space="0"/>
            </w:tcBorders>
            <w:shd w:val="clear" w:color="000000" w:fill="FFFFFF"/>
            <w:vAlign w:val="center"/>
          </w:tcPr>
          <w:p w14:paraId="110BC0F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王自强 </w:t>
            </w:r>
          </w:p>
        </w:tc>
        <w:tc>
          <w:tcPr>
            <w:tcW w:w="0" w:type="auto"/>
            <w:tcBorders>
              <w:top w:val="nil"/>
              <w:left w:val="nil"/>
              <w:bottom w:val="single" w:color="auto" w:sz="4" w:space="0"/>
              <w:right w:val="single" w:color="auto" w:sz="4" w:space="0"/>
            </w:tcBorders>
            <w:shd w:val="clear" w:color="000000" w:fill="FFFFFF"/>
            <w:vAlign w:val="center"/>
          </w:tcPr>
          <w:p w14:paraId="0AF6C848">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南京大学</w:t>
            </w:r>
          </w:p>
        </w:tc>
        <w:tc>
          <w:tcPr>
            <w:tcW w:w="0" w:type="auto"/>
            <w:tcBorders>
              <w:top w:val="nil"/>
              <w:left w:val="nil"/>
              <w:bottom w:val="single" w:color="auto" w:sz="4" w:space="0"/>
              <w:right w:val="single" w:color="auto" w:sz="4" w:space="0"/>
            </w:tcBorders>
            <w:shd w:val="clear" w:color="000000" w:fill="FFFFFF"/>
            <w:vAlign w:val="center"/>
          </w:tcPr>
          <w:p w14:paraId="386E31F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757" w:type="dxa"/>
            <w:tcBorders>
              <w:top w:val="nil"/>
              <w:left w:val="nil"/>
              <w:bottom w:val="single" w:color="auto" w:sz="4" w:space="0"/>
              <w:right w:val="single" w:color="auto" w:sz="4" w:space="0"/>
            </w:tcBorders>
            <w:shd w:val="clear" w:color="000000" w:fill="FFFFFF"/>
            <w:vAlign w:val="center"/>
          </w:tcPr>
          <w:p w14:paraId="7680D42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10</w:t>
            </w:r>
          </w:p>
        </w:tc>
      </w:tr>
      <w:tr w14:paraId="21D57FBC">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3A70395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19</w:t>
            </w:r>
          </w:p>
        </w:tc>
        <w:tc>
          <w:tcPr>
            <w:tcW w:w="0" w:type="auto"/>
            <w:tcBorders>
              <w:top w:val="nil"/>
              <w:left w:val="nil"/>
              <w:bottom w:val="single" w:color="auto" w:sz="4" w:space="0"/>
              <w:right w:val="single" w:color="auto" w:sz="4" w:space="0"/>
            </w:tcBorders>
            <w:shd w:val="clear" w:color="000000" w:fill="FFFFFF"/>
            <w:vAlign w:val="center"/>
          </w:tcPr>
          <w:p w14:paraId="7E55C594">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大学生安全教育</w:t>
            </w:r>
          </w:p>
        </w:tc>
        <w:tc>
          <w:tcPr>
            <w:tcW w:w="0" w:type="auto"/>
            <w:tcBorders>
              <w:top w:val="nil"/>
              <w:left w:val="nil"/>
              <w:bottom w:val="single" w:color="auto" w:sz="4" w:space="0"/>
              <w:right w:val="single" w:color="auto" w:sz="4" w:space="0"/>
            </w:tcBorders>
            <w:shd w:val="clear" w:color="000000" w:fill="FFFFFF"/>
            <w:vAlign w:val="center"/>
          </w:tcPr>
          <w:p w14:paraId="3B89B753">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王大伟、张国清</w:t>
            </w:r>
          </w:p>
        </w:tc>
        <w:tc>
          <w:tcPr>
            <w:tcW w:w="0" w:type="auto"/>
            <w:tcBorders>
              <w:top w:val="nil"/>
              <w:left w:val="nil"/>
              <w:bottom w:val="single" w:color="auto" w:sz="4" w:space="0"/>
              <w:right w:val="single" w:color="auto" w:sz="4" w:space="0"/>
            </w:tcBorders>
            <w:shd w:val="clear" w:color="000000" w:fill="FFFFFF"/>
            <w:vAlign w:val="center"/>
          </w:tcPr>
          <w:p w14:paraId="2D4ACF0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中国人民公安大学、同济大学</w:t>
            </w:r>
          </w:p>
        </w:tc>
        <w:tc>
          <w:tcPr>
            <w:tcW w:w="0" w:type="auto"/>
            <w:tcBorders>
              <w:top w:val="nil"/>
              <w:left w:val="nil"/>
              <w:bottom w:val="single" w:color="auto" w:sz="4" w:space="0"/>
              <w:right w:val="single" w:color="auto" w:sz="4" w:space="0"/>
            </w:tcBorders>
            <w:shd w:val="clear" w:color="000000" w:fill="FFFFFF"/>
            <w:vAlign w:val="center"/>
          </w:tcPr>
          <w:p w14:paraId="29F5449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757" w:type="dxa"/>
            <w:tcBorders>
              <w:top w:val="nil"/>
              <w:left w:val="nil"/>
              <w:bottom w:val="single" w:color="auto" w:sz="4" w:space="0"/>
              <w:right w:val="single" w:color="auto" w:sz="4" w:space="0"/>
            </w:tcBorders>
            <w:shd w:val="clear" w:color="000000" w:fill="FFFFFF"/>
            <w:vAlign w:val="center"/>
          </w:tcPr>
          <w:p w14:paraId="41562BA7">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40</w:t>
            </w:r>
          </w:p>
        </w:tc>
      </w:tr>
      <w:tr w14:paraId="7A48181D">
        <w:tblPrEx>
          <w:tblCellMar>
            <w:top w:w="0" w:type="dxa"/>
            <w:left w:w="108" w:type="dxa"/>
            <w:bottom w:w="0" w:type="dxa"/>
            <w:right w:w="108" w:type="dxa"/>
          </w:tblCellMar>
        </w:tblPrEx>
        <w:trPr>
          <w:trHeight w:val="0" w:hRule="atLeast"/>
          <w:jc w:val="center"/>
        </w:trPr>
        <w:tc>
          <w:tcPr>
            <w:tcW w:w="0" w:type="auto"/>
            <w:tcBorders>
              <w:top w:val="nil"/>
              <w:left w:val="single" w:color="auto" w:sz="8" w:space="0"/>
              <w:bottom w:val="single" w:color="auto" w:sz="4" w:space="0"/>
              <w:right w:val="single" w:color="auto" w:sz="4" w:space="0"/>
            </w:tcBorders>
            <w:shd w:val="clear" w:color="000000" w:fill="FFFFFF"/>
            <w:vAlign w:val="center"/>
          </w:tcPr>
          <w:p w14:paraId="16920F8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20</w:t>
            </w:r>
          </w:p>
        </w:tc>
        <w:tc>
          <w:tcPr>
            <w:tcW w:w="0" w:type="auto"/>
            <w:tcBorders>
              <w:top w:val="nil"/>
              <w:left w:val="nil"/>
              <w:bottom w:val="single" w:color="auto" w:sz="4" w:space="0"/>
              <w:right w:val="single" w:color="auto" w:sz="4" w:space="0"/>
            </w:tcBorders>
            <w:shd w:val="clear" w:color="000000" w:fill="FFFFFF"/>
            <w:vAlign w:val="center"/>
          </w:tcPr>
          <w:p w14:paraId="7C69E19D">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大学生心理健康教育</w:t>
            </w:r>
          </w:p>
        </w:tc>
        <w:tc>
          <w:tcPr>
            <w:tcW w:w="0" w:type="auto"/>
            <w:tcBorders>
              <w:top w:val="nil"/>
              <w:left w:val="nil"/>
              <w:bottom w:val="single" w:color="auto" w:sz="4" w:space="0"/>
              <w:right w:val="single" w:color="auto" w:sz="4" w:space="0"/>
            </w:tcBorders>
            <w:shd w:val="clear" w:color="000000" w:fill="FFFFFF"/>
            <w:vAlign w:val="center"/>
          </w:tcPr>
          <w:p w14:paraId="050139C0">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李子勋、赵然、苑媛</w:t>
            </w:r>
          </w:p>
        </w:tc>
        <w:tc>
          <w:tcPr>
            <w:tcW w:w="0" w:type="auto"/>
            <w:tcBorders>
              <w:top w:val="nil"/>
              <w:left w:val="nil"/>
              <w:bottom w:val="single" w:color="auto" w:sz="4" w:space="0"/>
              <w:right w:val="single" w:color="auto" w:sz="4" w:space="0"/>
            </w:tcBorders>
            <w:shd w:val="clear" w:color="000000" w:fill="FFFFFF"/>
            <w:vAlign w:val="center"/>
          </w:tcPr>
          <w:p w14:paraId="1B113C04">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中日友好医院、中央财经大学、中央财经大学</w:t>
            </w:r>
          </w:p>
        </w:tc>
        <w:tc>
          <w:tcPr>
            <w:tcW w:w="0" w:type="auto"/>
            <w:tcBorders>
              <w:top w:val="nil"/>
              <w:left w:val="nil"/>
              <w:bottom w:val="single" w:color="auto" w:sz="4" w:space="0"/>
              <w:right w:val="single" w:color="auto" w:sz="4" w:space="0"/>
            </w:tcBorders>
            <w:shd w:val="clear" w:color="000000" w:fill="FFFFFF"/>
            <w:vAlign w:val="center"/>
          </w:tcPr>
          <w:p w14:paraId="7F3820F1">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757" w:type="dxa"/>
            <w:tcBorders>
              <w:top w:val="nil"/>
              <w:left w:val="nil"/>
              <w:bottom w:val="single" w:color="auto" w:sz="4" w:space="0"/>
              <w:right w:val="single" w:color="auto" w:sz="4" w:space="0"/>
            </w:tcBorders>
            <w:shd w:val="clear" w:color="000000" w:fill="FFFFFF"/>
            <w:vAlign w:val="center"/>
          </w:tcPr>
          <w:p w14:paraId="2754C64C">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36</w:t>
            </w:r>
          </w:p>
        </w:tc>
      </w:tr>
      <w:tr w14:paraId="143E5E93">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AD20DD1">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21</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768D961">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智能文明</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C681887">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顾骏 等</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081FF6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上海大学</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62F34A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6C04EE7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28</w:t>
            </w:r>
          </w:p>
        </w:tc>
      </w:tr>
      <w:tr w14:paraId="0FAE9C2D">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7BED830">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22</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F78786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中国哲学概论</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BB03F38">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陆建猷</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376107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西安交通大学</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362D697">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51CF103C">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37</w:t>
            </w:r>
          </w:p>
        </w:tc>
      </w:tr>
      <w:tr w14:paraId="0AB39BA4">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8AA1DAD">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23</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1413995">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《西游记》与中国传统文化</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E4AEAC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成云雷</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B1D0864">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南通大学</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3D7BE2B">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76A7494A">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12</w:t>
            </w:r>
          </w:p>
        </w:tc>
      </w:tr>
      <w:tr w14:paraId="718D77D3">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7668A84">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24</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3DCBCAD">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影响力从语言开始</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63F00B4">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王苏 等</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A0ADAA6">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上海戏剧学院</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D72E34E">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2B86E860">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21</w:t>
            </w:r>
          </w:p>
        </w:tc>
      </w:tr>
      <w:tr w14:paraId="29DD80F0">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B3AC865">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25</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926B683">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中国古建筑欣赏与设计</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D34A80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柳肃</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81F6990">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湖南大学</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821A2A9">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3D6A1612">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26</w:t>
            </w:r>
          </w:p>
        </w:tc>
      </w:tr>
      <w:tr w14:paraId="6E995A0D">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1A84D35">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26</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0A6B1D0">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中国历史人文地理（上）</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6003DF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葛剑雄</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2554E65">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复旦大学</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DAD5E9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5F12C841">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22</w:t>
            </w:r>
          </w:p>
        </w:tc>
      </w:tr>
      <w:tr w14:paraId="643A3C87">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C2088E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27</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730DA36">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带您走进西藏</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83030B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更登磋</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BC9DA4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西藏民族大学</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9C7FB62">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1803C8C7">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26</w:t>
            </w:r>
          </w:p>
        </w:tc>
      </w:tr>
      <w:tr w14:paraId="3965CB6B">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930F6C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28</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6776A02">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名侦探柯南与化学探秘</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E2AC065">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徐海</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923AB3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中南大学</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86C7CF4">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35026EEA">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13</w:t>
            </w:r>
          </w:p>
        </w:tc>
      </w:tr>
      <w:tr w14:paraId="51AB6633">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1399B7F">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A0EFF85">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走进《黄帝内经》</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C6D8DD9">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于铁成</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1E79353">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天津中医药大学第一附属医院</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C0BBAA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4904A143">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22</w:t>
            </w:r>
          </w:p>
        </w:tc>
      </w:tr>
      <w:tr w14:paraId="66A36DCF">
        <w:tblPrEx>
          <w:tblCellMar>
            <w:top w:w="0" w:type="dxa"/>
            <w:left w:w="108" w:type="dxa"/>
            <w:bottom w:w="0" w:type="dxa"/>
            <w:right w:w="108" w:type="dxa"/>
          </w:tblCellMar>
        </w:tblPrEx>
        <w:trPr>
          <w:trHeight w:val="0" w:hRule="atLeast"/>
          <w:jc w:val="center"/>
        </w:trPr>
        <w:tc>
          <w:tcPr>
            <w:tcW w:w="523" w:type="dxa"/>
            <w:tcBorders>
              <w:top w:val="single" w:color="auto" w:sz="4" w:space="0"/>
              <w:left w:val="single" w:color="auto" w:sz="4" w:space="0"/>
              <w:bottom w:val="single" w:color="auto" w:sz="4" w:space="0"/>
              <w:right w:val="single" w:color="auto" w:sz="4" w:space="0"/>
            </w:tcBorders>
            <w:shd w:val="clear" w:color="000000" w:fill="FFFFFF"/>
            <w:vAlign w:val="center"/>
          </w:tcPr>
          <w:p w14:paraId="377C8AB8">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30</w:t>
            </w:r>
          </w:p>
        </w:tc>
        <w:tc>
          <w:tcPr>
            <w:tcW w:w="2658" w:type="dxa"/>
            <w:tcBorders>
              <w:top w:val="single" w:color="auto" w:sz="4" w:space="0"/>
              <w:left w:val="single" w:color="auto" w:sz="4" w:space="0"/>
              <w:bottom w:val="single" w:color="auto" w:sz="4" w:space="0"/>
              <w:right w:val="single" w:color="auto" w:sz="4" w:space="0"/>
            </w:tcBorders>
            <w:shd w:val="clear" w:color="000000" w:fill="FFFFFF"/>
            <w:vAlign w:val="center"/>
          </w:tcPr>
          <w:p w14:paraId="3FE286AA">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当代大学生国家安全教育</w:t>
            </w:r>
          </w:p>
        </w:tc>
        <w:tc>
          <w:tcPr>
            <w:tcW w:w="2794" w:type="dxa"/>
            <w:tcBorders>
              <w:top w:val="single" w:color="auto" w:sz="4" w:space="0"/>
              <w:left w:val="single" w:color="auto" w:sz="4" w:space="0"/>
              <w:bottom w:val="single" w:color="auto" w:sz="4" w:space="0"/>
              <w:right w:val="single" w:color="auto" w:sz="4" w:space="0"/>
            </w:tcBorders>
            <w:shd w:val="clear" w:color="000000" w:fill="FFFFFF"/>
            <w:vAlign w:val="center"/>
          </w:tcPr>
          <w:p w14:paraId="70550F15">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牛继承 等</w:t>
            </w:r>
          </w:p>
        </w:tc>
        <w:tc>
          <w:tcPr>
            <w:tcW w:w="2990" w:type="dxa"/>
            <w:tcBorders>
              <w:top w:val="single" w:color="auto" w:sz="4" w:space="0"/>
              <w:left w:val="single" w:color="auto" w:sz="4" w:space="0"/>
              <w:bottom w:val="single" w:color="auto" w:sz="4" w:space="0"/>
              <w:right w:val="single" w:color="auto" w:sz="4" w:space="0"/>
            </w:tcBorders>
            <w:shd w:val="clear" w:color="000000" w:fill="FFFFFF"/>
            <w:vAlign w:val="center"/>
          </w:tcPr>
          <w:p w14:paraId="0A3084FB">
            <w:pPr>
              <w:widowControl/>
              <w:snapToGrid w:val="0"/>
              <w:ind w:left="0" w:leftChars="0" w:right="0" w:rightChars="0" w:firstLine="0" w:firstLineChars="0"/>
              <w:jc w:val="left"/>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中国人民警察大学</w:t>
            </w:r>
          </w:p>
        </w:tc>
        <w:tc>
          <w:tcPr>
            <w:tcW w:w="930" w:type="dxa"/>
            <w:tcBorders>
              <w:top w:val="single" w:color="auto" w:sz="4" w:space="0"/>
              <w:left w:val="single" w:color="auto" w:sz="4" w:space="0"/>
              <w:bottom w:val="single" w:color="auto" w:sz="4" w:space="0"/>
              <w:right w:val="single" w:color="auto" w:sz="4" w:space="0"/>
            </w:tcBorders>
            <w:shd w:val="clear" w:color="000000" w:fill="FFFFFF"/>
            <w:vAlign w:val="center"/>
          </w:tcPr>
          <w:p w14:paraId="026A377A">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p>
        </w:tc>
        <w:tc>
          <w:tcPr>
            <w:tcW w:w="757" w:type="dxa"/>
            <w:tcBorders>
              <w:top w:val="single" w:color="auto" w:sz="4" w:space="0"/>
              <w:left w:val="single" w:color="auto" w:sz="4" w:space="0"/>
              <w:bottom w:val="single" w:color="auto" w:sz="4" w:space="0"/>
              <w:right w:val="single" w:color="auto" w:sz="4" w:space="0"/>
            </w:tcBorders>
            <w:shd w:val="clear" w:color="000000" w:fill="FFFFFF"/>
            <w:vAlign w:val="center"/>
          </w:tcPr>
          <w:p w14:paraId="3FDEEFD4">
            <w:pPr>
              <w:widowControl/>
              <w:snapToGrid w:val="0"/>
              <w:ind w:left="0" w:leftChars="0" w:right="0" w:rightChars="0" w:firstLine="0" w:firstLineChars="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20</w:t>
            </w:r>
          </w:p>
        </w:tc>
      </w:tr>
    </w:tbl>
    <w:p w14:paraId="49706D69">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课程配套资料要求</w:t>
      </w:r>
    </w:p>
    <w:p w14:paraId="49706D6A">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（1）除实验室安全课程外，每门课应当至少包含400分钟的视频，满足1学分课程的教学需求。</w:t>
      </w:r>
    </w:p>
    <w:p w14:paraId="49706D6D">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除实验室安全课程外，需提供难、中、易三种难度期末试卷供用户选择。难度为“易”的试卷需包括单选题、多选题、判断题三种题型；难度为“中”的试卷需包括单选题、多选题、判断题、填空题四种题型；难度为“难”的试卷需包括单选题、多选题、判断题、填空题、简答题。教育主管部门相关政策另有规定时以具体规定为准。如课程内容不适合出简答、填空等主观题的，可以暂不设置，但此类课程占总课程数量不得超过2%。</w:t>
      </w:r>
    </w:p>
    <w:p w14:paraId="49706D6F">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）辅学资源：除实验室安全课程外，需另外提供包含与本门课程相关的图书，以丰富学生的课外学习。每门课相关电子版参考图书至少10册，放在课程首页上供学生查看。所有图书需要可以直接阅读全文。</w:t>
      </w:r>
    </w:p>
    <w:p w14:paraId="49706D75">
      <w:pPr>
        <w:pStyle w:val="2"/>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平台技术要求</w:t>
      </w:r>
    </w:p>
    <w:p w14:paraId="49706D76">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课程教学功能</w:t>
      </w:r>
    </w:p>
    <w:p w14:paraId="49706D78">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1</w:t>
      </w:r>
      <w:r>
        <w:rPr>
          <w:rFonts w:hint="eastAsia"/>
          <w:color w:val="000000" w:themeColor="text1"/>
          <w:szCs w:val="21"/>
          <w14:textFill>
            <w14:solidFill>
              <w14:schemeClr w14:val="tx1"/>
            </w14:solidFill>
          </w14:textFill>
        </w:rPr>
        <w:t>）根据用户需求，教学平台应支持批量导入和直接选课两种模式。批量导入时，教务处根据学生在教务系统选课情况生成选课清单，由供应商导入学习系统中。直接选课时，学校可以根据需要限定每人选课门数、学分数上限以及每门课程选课人数上限；支持学生选课前试听课程；教师可设置是否自主选课，是否允许退选。</w:t>
      </w:r>
    </w:p>
    <w:p w14:paraId="49706D7A">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考核维度要求能根据学校需要统一设置，也能根据不同课程分别设置。可设置的权重项应包含但不限于签到、音频/视频、作业、考试、阅读、直播、登录（访问）、线下成绩等维度。考核维度所占权重支持用户自定义设置，支持在整个学习流程中随时修改。其中，直播支持实时直播及回看功能，观看时长可来自实时直播或回看；阅读时将以正常翻页频率阅读的材料所消耗的时间记为学生的阅读时长。</w:t>
      </w:r>
    </w:p>
    <w:p w14:paraId="49706D7C">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）系统支持网页端、APP端学习。APP端需支持iOS、安卓、鸿蒙系统，实现在线移动教学功能。APP端与PC端学习进度、学习数据、教学管控功能保持一致，教师可以对课程和学生进行统一管理。</w:t>
      </w:r>
    </w:p>
    <w:p w14:paraId="49706D7D">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）电脑端学习空间、APP端首页可集成供应商及第三方个性化信息与应用。学校可根据本校需要配置首页展示的应用及个人空间中的应用。</w:t>
      </w:r>
    </w:p>
    <w:p w14:paraId="49706D7E">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）支持云盘功能，可以将文件上传至云盘中，随时随地进行下载，并可以在课程建设时引用云盘的资源。</w:t>
      </w:r>
    </w:p>
    <w:p w14:paraId="49706D81">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6</w:t>
      </w:r>
      <w:r>
        <w:rPr>
          <w:rFonts w:hint="eastAsia"/>
          <w:color w:val="000000" w:themeColor="text1"/>
          <w:szCs w:val="21"/>
          <w14:textFill>
            <w14:solidFill>
              <w14:schemeClr w14:val="tx1"/>
            </w14:solidFill>
          </w14:textFill>
        </w:rPr>
        <w:t>）拓展阅读功能模块，允许教师对阅读资源进行自定义分类、自主添加或删除阅读资源。自主添加的阅读资源考核办法应与系统默认资源考核办法一致。</w:t>
      </w:r>
    </w:p>
    <w:p w14:paraId="49706D83">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7</w:t>
      </w:r>
      <w:r>
        <w:rPr>
          <w:rFonts w:hint="eastAsia"/>
          <w:color w:val="000000" w:themeColor="text1"/>
          <w:szCs w:val="21"/>
          <w14:textFill>
            <w14:solidFill>
              <w14:schemeClr w14:val="tx1"/>
            </w14:solidFill>
          </w14:textFill>
        </w:rPr>
        <w:t>）学生在线学习课程时需支持进度记忆，支持防止拖拽、禁止倍速观看，支持当前活动窗口探测、防止观看课程时进行其他活动。系统支持取消防拖拽、禁止倍速、当前窗口探测等功能。</w:t>
      </w:r>
    </w:p>
    <w:p w14:paraId="49706D85">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8</w:t>
      </w:r>
      <w:r>
        <w:rPr>
          <w:rFonts w:hint="eastAsia"/>
          <w:color w:val="000000" w:themeColor="text1"/>
          <w:szCs w:val="21"/>
          <w14:textFill>
            <w14:solidFill>
              <w14:schemeClr w14:val="tx1"/>
            </w14:solidFill>
          </w14:textFill>
        </w:rPr>
        <w:t>）考试过程中提供考试纪律监控相关技术支持，包括通过人像比对确保考生本人考试、通过摄像头抓拍实现过程监控、对学生切出考试页面进行提醒、题目及选项乱序等。</w:t>
      </w:r>
    </w:p>
    <w:p w14:paraId="49706D87">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通识素养测评</w:t>
      </w:r>
    </w:p>
    <w:p w14:paraId="49706D88">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（1）测评体系应覆盖文学艺术类、历史文化类、哲学思想类、经管社会类、国学知识类、科学技术类等六个类别。</w:t>
      </w:r>
    </w:p>
    <w:p w14:paraId="49706D89">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（2）系统提供难、中、易三组试卷，由用户自主选择发放试卷的组别。每组试卷包含20套试卷，学生随机从中抽取1套试卷作答。允许多次作答时，每次作答时重新抽取试卷。</w:t>
      </w:r>
    </w:p>
    <w:p w14:paraId="49706D8B">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）测评功能应和课程学习功能整合在同一个APP内。测评首页上应包含测评入口及个人数据查看入口。</w:t>
      </w:r>
    </w:p>
    <w:p w14:paraId="49706D8C">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）测评完成后，需允许学生在线查看个人测评报告。报告中需要包括测评内容体系各门类的详细分数、成绩评价、全校对比情况、各模块变动趋势分析，要能够回看学生历次测评结果。</w:t>
      </w:r>
    </w:p>
    <w:p w14:paraId="49706D8F">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）测评应提供本校专用的后台功能模块配置在课程平台的管理后台中。后台具体功能应包含题库管理、组卷与发放、测评情况管理、参与数据分析查询、成绩数据导出等功能。</w:t>
      </w:r>
    </w:p>
    <w:p w14:paraId="49706D91">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积分式学习课程</w:t>
      </w:r>
    </w:p>
    <w:p w14:paraId="49706D92">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（1）为了满足学生个性化发展需要，</w:t>
      </w:r>
      <w:r>
        <w:rPr>
          <w:rFonts w:hint="eastAsia"/>
          <w:color w:val="000000" w:themeColor="text1"/>
          <w:szCs w:val="21"/>
          <w14:textFill>
            <w14:solidFill>
              <w14:schemeClr w14:val="tx1"/>
            </w14:solidFill>
          </w14:textFill>
        </w:rPr>
        <w:t>综合知识类、个人能力类、个人成长类、创新创业类、公共必修类课程，每个分类应至少提供2门积分式学习类课程。</w:t>
      </w:r>
    </w:p>
    <w:p w14:paraId="49706D93">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（2）积分式学习类课程应至少包含视频、测验题、阅读材料等三类学习资源。每个主题课程中知识点数量不低于1</w:t>
      </w:r>
      <w:r>
        <w:rPr>
          <w:rFonts w:ascii="宋体" w:hAnsi="宋体"/>
          <w:color w:val="000000" w:themeColor="text1"/>
          <w:szCs w:val="21"/>
          <w14:textFill>
            <w14:solidFill>
              <w14:schemeClr w14:val="tx1"/>
            </w14:solidFill>
          </w14:textFill>
        </w:rPr>
        <w:t>8</w:t>
      </w:r>
      <w:r>
        <w:rPr>
          <w:rFonts w:hint="eastAsia" w:ascii="宋体" w:hAnsi="宋体"/>
          <w:color w:val="000000" w:themeColor="text1"/>
          <w:szCs w:val="21"/>
          <w14:textFill>
            <w14:solidFill>
              <w14:schemeClr w14:val="tx1"/>
            </w14:solidFill>
          </w14:textFill>
        </w:rPr>
        <w:t>0个，其中包含不少于1</w:t>
      </w:r>
      <w:r>
        <w:rPr>
          <w:rFonts w:ascii="宋体" w:hAnsi="宋体"/>
          <w:color w:val="000000" w:themeColor="text1"/>
          <w:szCs w:val="21"/>
          <w14:textFill>
            <w14:solidFill>
              <w14:schemeClr w14:val="tx1"/>
            </w14:solidFill>
          </w14:textFill>
        </w:rPr>
        <w:t>50</w:t>
      </w:r>
      <w:r>
        <w:rPr>
          <w:rFonts w:hint="eastAsia" w:ascii="宋体" w:hAnsi="宋体"/>
          <w:color w:val="000000" w:themeColor="text1"/>
          <w:szCs w:val="21"/>
          <w14:textFill>
            <w14:solidFill>
              <w14:schemeClr w14:val="tx1"/>
            </w14:solidFill>
          </w14:textFill>
        </w:rPr>
        <w:t>个视频、300道测验题，20个阅读材料。每门课视频累计时长不少于2</w:t>
      </w:r>
      <w:r>
        <w:rPr>
          <w:rFonts w:ascii="宋体" w:hAnsi="宋体"/>
          <w:color w:val="000000" w:themeColor="text1"/>
          <w:szCs w:val="21"/>
          <w14:textFill>
            <w14:solidFill>
              <w14:schemeClr w14:val="tx1"/>
            </w14:solidFill>
          </w14:textFill>
        </w:rPr>
        <w:t>000</w:t>
      </w:r>
      <w:r>
        <w:rPr>
          <w:rFonts w:hint="eastAsia" w:ascii="宋体" w:hAnsi="宋体"/>
          <w:color w:val="000000" w:themeColor="text1"/>
          <w:szCs w:val="21"/>
          <w14:textFill>
            <w14:solidFill>
              <w14:schemeClr w14:val="tx1"/>
            </w14:solidFill>
          </w14:textFill>
        </w:rPr>
        <w:t>分钟，</w:t>
      </w:r>
      <w:r>
        <w:rPr>
          <w:rFonts w:hint="eastAsia"/>
          <w:color w:val="000000" w:themeColor="text1"/>
          <w:szCs w:val="21"/>
          <w14:textFill>
            <w14:solidFill>
              <w14:schemeClr w14:val="tx1"/>
            </w14:solidFill>
          </w14:textFill>
        </w:rPr>
        <w:t>所有</w:t>
      </w:r>
      <w:r>
        <w:rPr>
          <w:rFonts w:hint="eastAsia" w:ascii="宋体" w:hAnsi="宋体"/>
          <w:color w:val="000000" w:themeColor="text1"/>
          <w:szCs w:val="21"/>
          <w14:textFill>
            <w14:solidFill>
              <w14:schemeClr w14:val="tx1"/>
            </w14:solidFill>
          </w14:textFill>
        </w:rPr>
        <w:t>测验题应为客观题。</w:t>
      </w:r>
    </w:p>
    <w:p w14:paraId="49706D94">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（3）积分式学习类课程可以考核以下所有操作行为：登录、视频观看时长、阅读时长、测验题、讨论、学习笔记、线下活动。</w:t>
      </w:r>
    </w:p>
    <w:p w14:paraId="49706D95">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积分式学习类课程中，日常学习考核以积分制模式进行。学生从课程内的知识点中任意选择知识点进行学习，学生在系统内发生学习行为时，系统可以根据校方预先设置的分数值，自动记录其行为对应的分数。</w:t>
      </w:r>
    </w:p>
    <w:p w14:paraId="49706D97">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（5）积分式学习类课程中，支持在专用后台设置总积分、视频观看时长总积分、阅读时长总积分、测验题答题总积分的最低值，以及每日获得总积分、笔记每日积分、讨论每日积分的最大值。</w:t>
      </w:r>
    </w:p>
    <w:p w14:paraId="49706D98">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6</w:t>
      </w:r>
      <w:r>
        <w:rPr>
          <w:rFonts w:hint="eastAsia"/>
          <w:color w:val="000000" w:themeColor="text1"/>
          <w:szCs w:val="21"/>
          <w14:textFill>
            <w14:solidFill>
              <w14:schemeClr w14:val="tx1"/>
            </w14:solidFill>
          </w14:textFill>
        </w:rPr>
        <w:t>）积分式学习类课程中，需支持搜索知识点功能，允许学生根据自身需求对知识点进行搜索，也可查看预先设置的推荐知识点、必学知识点。教师可根据实际教学需求，将特定知识点设置为推荐知识点或必学知识点，引导学生学习。</w:t>
      </w:r>
    </w:p>
    <w:p w14:paraId="49706D9B">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人工智能实验功能要求</w:t>
      </w:r>
    </w:p>
    <w:p w14:paraId="49706D9C">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至少提供5门配置了人工智能实验的课程，所有课程中合计提供的实验数量不少于30个。实验内容应覆盖云计算、大模型、AIGC等主题。实验主题应相对通识，避免聚焦于个别细分领域，避免学生习得技能后缺少应用场景。</w:t>
      </w:r>
    </w:p>
    <w:p w14:paraId="49706D9E">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）平台提供实验操作功能。操作界面应采用分屏的形式，左侧为实验手册，右侧为实操界面。</w:t>
      </w:r>
    </w:p>
    <w:p w14:paraId="49706DA1">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）系统应支持对学生操作流程进行监控，从而评估学生实验完成情况。</w:t>
      </w:r>
    </w:p>
    <w:p w14:paraId="49706DA2">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）实验完成数量可作为权重纳入课程成绩考核。教师可在权重设置页面设置学生需要完成的实验数量，以及权重对应占比。</w:t>
      </w:r>
    </w:p>
    <w:p w14:paraId="1BF6F29C">
      <w:pP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）实训平台可基于电脑端网页运行，无需安装额外的软件。</w:t>
      </w:r>
    </w:p>
    <w:p w14:paraId="49706DAF">
      <w:pPr>
        <w:pStyle w:val="2"/>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运行服务要求</w:t>
      </w:r>
    </w:p>
    <w:p w14:paraId="49706DB0">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技术服务支持</w:t>
      </w:r>
    </w:p>
    <w:p w14:paraId="49706DB1">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（1）具备保障本校校内10000人同时在线学习的运营服务能力。</w:t>
      </w:r>
      <w:r>
        <w:rPr>
          <w:rFonts w:hint="eastAsia"/>
          <w:color w:val="FF0000"/>
          <w:szCs w:val="21"/>
        </w:rPr>
        <w:t>供应商需提供包含相关信息的运行服务承诺书</w:t>
      </w:r>
      <w:r>
        <w:rPr>
          <w:rFonts w:hint="eastAsia"/>
          <w:color w:val="000000" w:themeColor="text1"/>
          <w:szCs w:val="21"/>
          <w14:textFill>
            <w14:solidFill>
              <w14:schemeClr w14:val="tx1"/>
            </w14:solidFill>
          </w14:textFill>
        </w:rPr>
        <w:t>。</w:t>
      </w:r>
    </w:p>
    <w:p w14:paraId="49706DB2">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（2）支持云服务、混合部署等部署方式，确保视频访问时提供校园网与公网切换服务：平台远程访问、视频数据本地安装、公网访问。</w:t>
      </w:r>
      <w:r>
        <w:rPr>
          <w:rFonts w:hint="eastAsia"/>
          <w:color w:val="FF0000"/>
          <w:szCs w:val="21"/>
        </w:rPr>
        <w:t>供应商需提供包含相关信息的运行服务承诺书</w:t>
      </w:r>
      <w:r>
        <w:rPr>
          <w:rFonts w:hint="eastAsia"/>
          <w:color w:val="000000" w:themeColor="text1"/>
          <w:szCs w:val="21"/>
          <w14:textFill>
            <w14:solidFill>
              <w14:schemeClr w14:val="tx1"/>
            </w14:solidFill>
          </w14:textFill>
        </w:rPr>
        <w:t>。</w:t>
      </w:r>
    </w:p>
    <w:p w14:paraId="49706DB3">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（3）供应商需提供软件系统更新维护服务。</w:t>
      </w:r>
      <w:r>
        <w:rPr>
          <w:rFonts w:hint="eastAsia"/>
          <w:color w:val="FF0000"/>
          <w:szCs w:val="21"/>
        </w:rPr>
        <w:t>供应商需提供包含相关信息的运行服务承诺书</w:t>
      </w:r>
      <w:r>
        <w:rPr>
          <w:rFonts w:hint="eastAsia"/>
          <w:color w:val="000000" w:themeColor="text1"/>
          <w:szCs w:val="21"/>
          <w14:textFill>
            <w14:solidFill>
              <w14:schemeClr w14:val="tx1"/>
            </w14:solidFill>
          </w14:textFill>
        </w:rPr>
        <w:t>。</w:t>
      </w:r>
    </w:p>
    <w:p w14:paraId="49706DB4">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（4）提供学生学习进度监控、课程访问统计分析、学习诚信监控，可根据学校需求提供教学运行数据和学习数据异常名单。</w:t>
      </w:r>
      <w:r>
        <w:rPr>
          <w:rFonts w:hint="eastAsia"/>
          <w:color w:val="FF0000"/>
          <w:szCs w:val="21"/>
        </w:rPr>
        <w:t>供应商需提供包含相关信息的运行服务承诺书</w:t>
      </w:r>
      <w:r>
        <w:rPr>
          <w:rFonts w:hint="eastAsia"/>
          <w:color w:val="000000" w:themeColor="text1"/>
          <w:szCs w:val="21"/>
          <w14:textFill>
            <w14:solidFill>
              <w14:schemeClr w14:val="tx1"/>
            </w14:solidFill>
          </w14:textFill>
        </w:rPr>
        <w:t>。</w:t>
      </w:r>
    </w:p>
    <w:p w14:paraId="49706DB5">
      <w:pPr>
        <w:pStyle w:val="3"/>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人员服务支持</w:t>
      </w:r>
      <w:bookmarkStart w:id="0" w:name="_GoBack"/>
      <w:bookmarkEnd w:id="0"/>
    </w:p>
    <w:p w14:paraId="49706DB6">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（1）供应商提供教学和教务全程服务，包括开课/结课的所有数据运行服务，学生信息、学习成绩及学分的导入/导出等。</w:t>
      </w:r>
      <w:r>
        <w:rPr>
          <w:rFonts w:hint="eastAsia"/>
          <w:color w:val="FF0000"/>
          <w:szCs w:val="21"/>
        </w:rPr>
        <w:t>供应商需提供包含相关信息的运行服务承诺书</w:t>
      </w:r>
      <w:r>
        <w:rPr>
          <w:rFonts w:hint="eastAsia"/>
          <w:color w:val="000000" w:themeColor="text1"/>
          <w:szCs w:val="21"/>
          <w14:textFill>
            <w14:solidFill>
              <w14:schemeClr w14:val="tx1"/>
            </w14:solidFill>
          </w14:textFill>
        </w:rPr>
        <w:t>。</w:t>
      </w:r>
    </w:p>
    <w:p w14:paraId="49706DB7">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（2）结课后提供针对学校的课程运行报告，不得另外收费。报告需包含数据展示部分及数据分析部分，能够展示数据对应含义。</w:t>
      </w:r>
    </w:p>
    <w:p w14:paraId="49706DB8">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（3）提供在线客服、电话客服、邮箱客服解决学生、管理员、辅导老师使用问题；学生学习的导学、督学服务。</w:t>
      </w:r>
    </w:p>
    <w:p w14:paraId="49706DB9">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（4）为了保障产品正常运行，有效保障产品咨询、运行辅助、资源开发等通识课相关服务顺利开展，供应商应在学校所属省（市、自治区）建设有本地化服务团队，团队规模不少于30人。</w:t>
      </w:r>
    </w:p>
    <w:p w14:paraId="02802A57">
      <w:pPr>
        <w:rPr>
          <w:rFonts w:hint="eastAsia" w:ascii="宋体" w:hAnsi="宋体" w:cs="仿宋_GB2312" w:eastAsiaTheme="minorEastAsia"/>
          <w:color w:val="000000" w:themeColor="text1"/>
          <w:kern w:val="0"/>
          <w:sz w:val="24"/>
          <w:szCs w:val="24"/>
          <w:u w:val="single"/>
          <w:lang w:eastAsia="zh-CN"/>
          <w14:textFill>
            <w14:solidFill>
              <w14:schemeClr w14:val="tx1"/>
            </w14:solidFill>
          </w14:textFill>
        </w:rPr>
      </w:pPr>
      <w:r>
        <w:rPr>
          <w:rFonts w:hint="eastAsia"/>
          <w:color w:val="000000" w:themeColor="text1"/>
          <w:szCs w:val="21"/>
          <w14:textFill>
            <w14:solidFill>
              <w14:schemeClr w14:val="tx1"/>
            </w14:solidFill>
          </w14:textFill>
        </w:rPr>
        <w:t>（5）供应商应提供上门用户培训服务，且时间、地点、规模由学校制定，每学年承诺培训不少于2次</w:t>
      </w:r>
      <w:r>
        <w:rPr>
          <w:rFonts w:hint="eastAsia"/>
          <w:color w:val="000000" w:themeColor="text1"/>
          <w:szCs w:val="21"/>
          <w:lang w:eastAsia="zh-CN"/>
          <w14:textFill>
            <w14:solidFill>
              <w14:schemeClr w14:val="tx1"/>
            </w14:solidFill>
          </w14:textFill>
        </w:rPr>
        <w:t>。</w:t>
      </w:r>
    </w:p>
    <w:p w14:paraId="4A8D6120">
      <w:pPr>
        <w:widowControl/>
        <w:spacing w:line="360" w:lineRule="auto"/>
        <w:rPr>
          <w:rFonts w:hint="eastAsia" w:ascii="宋体" w:hAnsi="宋体" w:eastAsia="宋体" w:cs="仿宋_GB2312"/>
          <w:color w:val="000000" w:themeColor="text1"/>
          <w:kern w:val="0"/>
          <w:sz w:val="24"/>
          <w:szCs w:val="24"/>
          <w:u w:val="single"/>
          <w14:textFill>
            <w14:solidFill>
              <w14:schemeClr w14:val="tx1"/>
            </w14:solidFill>
          </w14:textFill>
        </w:rPr>
      </w:pPr>
    </w:p>
    <w:p w14:paraId="49706DBE">
      <w:pPr>
        <w:widowControl/>
        <w:jc w:val="left"/>
        <w:rPr>
          <w:rFonts w:hint="eastAsia" w:ascii="宋体" w:hAnsi="宋体" w:eastAsia="宋体"/>
          <w:b/>
          <w:bCs/>
        </w:rPr>
      </w:pPr>
    </w:p>
    <w:p w14:paraId="49706E09">
      <w:pPr>
        <w:rPr>
          <w:sz w:val="10"/>
          <w:szCs w:val="10"/>
        </w:rPr>
      </w:pPr>
    </w:p>
    <w:sectPr>
      <w:pgSz w:w="11906" w:h="16838"/>
      <w:pgMar w:top="454" w:right="567" w:bottom="45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5E7D54"/>
    <w:multiLevelType w:val="multilevel"/>
    <w:tmpl w:val="095E7D5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yMDBmMTU3YjM0ODJhMjIyYWFmMGViMTNiNTdjNWEifQ=="/>
  </w:docVars>
  <w:rsids>
    <w:rsidRoot w:val="000B6588"/>
    <w:rsid w:val="00002B13"/>
    <w:rsid w:val="0001386B"/>
    <w:rsid w:val="00014E4E"/>
    <w:rsid w:val="000250F9"/>
    <w:rsid w:val="00036B15"/>
    <w:rsid w:val="00073DB9"/>
    <w:rsid w:val="000912F1"/>
    <w:rsid w:val="000B6588"/>
    <w:rsid w:val="00121A6A"/>
    <w:rsid w:val="001253BE"/>
    <w:rsid w:val="00150064"/>
    <w:rsid w:val="00150A8E"/>
    <w:rsid w:val="00175861"/>
    <w:rsid w:val="0017622F"/>
    <w:rsid w:val="00180BC4"/>
    <w:rsid w:val="001944F0"/>
    <w:rsid w:val="00197C91"/>
    <w:rsid w:val="001E7170"/>
    <w:rsid w:val="001F42E5"/>
    <w:rsid w:val="00222F73"/>
    <w:rsid w:val="0025216F"/>
    <w:rsid w:val="002522FE"/>
    <w:rsid w:val="002543B2"/>
    <w:rsid w:val="00265041"/>
    <w:rsid w:val="0026635D"/>
    <w:rsid w:val="002765E9"/>
    <w:rsid w:val="002A567D"/>
    <w:rsid w:val="002A7E19"/>
    <w:rsid w:val="002B2E2B"/>
    <w:rsid w:val="002B492B"/>
    <w:rsid w:val="002E6441"/>
    <w:rsid w:val="00360D38"/>
    <w:rsid w:val="003818CF"/>
    <w:rsid w:val="00383F20"/>
    <w:rsid w:val="0038672A"/>
    <w:rsid w:val="003A2044"/>
    <w:rsid w:val="003A538B"/>
    <w:rsid w:val="003C344B"/>
    <w:rsid w:val="003D2646"/>
    <w:rsid w:val="003D27FE"/>
    <w:rsid w:val="003D36F2"/>
    <w:rsid w:val="003E78B4"/>
    <w:rsid w:val="00400782"/>
    <w:rsid w:val="00403227"/>
    <w:rsid w:val="0045422D"/>
    <w:rsid w:val="0045617D"/>
    <w:rsid w:val="004612A4"/>
    <w:rsid w:val="004676D8"/>
    <w:rsid w:val="004A583D"/>
    <w:rsid w:val="004A68CE"/>
    <w:rsid w:val="005034CF"/>
    <w:rsid w:val="005039EF"/>
    <w:rsid w:val="00515782"/>
    <w:rsid w:val="0052210E"/>
    <w:rsid w:val="005255F6"/>
    <w:rsid w:val="005265BF"/>
    <w:rsid w:val="00570964"/>
    <w:rsid w:val="005A46C8"/>
    <w:rsid w:val="005A7F33"/>
    <w:rsid w:val="005B4FE0"/>
    <w:rsid w:val="005B6C9B"/>
    <w:rsid w:val="005C1682"/>
    <w:rsid w:val="005D2D9E"/>
    <w:rsid w:val="005D5A42"/>
    <w:rsid w:val="00600506"/>
    <w:rsid w:val="00602371"/>
    <w:rsid w:val="00603750"/>
    <w:rsid w:val="00613037"/>
    <w:rsid w:val="00617457"/>
    <w:rsid w:val="00643B50"/>
    <w:rsid w:val="0066156E"/>
    <w:rsid w:val="00665357"/>
    <w:rsid w:val="00667C69"/>
    <w:rsid w:val="0067784E"/>
    <w:rsid w:val="006908DE"/>
    <w:rsid w:val="006B1F20"/>
    <w:rsid w:val="006C7D72"/>
    <w:rsid w:val="006F37D4"/>
    <w:rsid w:val="00711878"/>
    <w:rsid w:val="00735B83"/>
    <w:rsid w:val="00737FF2"/>
    <w:rsid w:val="0074211C"/>
    <w:rsid w:val="00757AB7"/>
    <w:rsid w:val="007826B5"/>
    <w:rsid w:val="00794985"/>
    <w:rsid w:val="007A2F60"/>
    <w:rsid w:val="007B4DB7"/>
    <w:rsid w:val="007D3BC4"/>
    <w:rsid w:val="0080198D"/>
    <w:rsid w:val="008024AD"/>
    <w:rsid w:val="00810F63"/>
    <w:rsid w:val="00825570"/>
    <w:rsid w:val="00830DD0"/>
    <w:rsid w:val="008327DF"/>
    <w:rsid w:val="00866AEE"/>
    <w:rsid w:val="0088579A"/>
    <w:rsid w:val="008923A5"/>
    <w:rsid w:val="0089747A"/>
    <w:rsid w:val="008B4078"/>
    <w:rsid w:val="008F0463"/>
    <w:rsid w:val="00936004"/>
    <w:rsid w:val="00945113"/>
    <w:rsid w:val="00956703"/>
    <w:rsid w:val="00977CC1"/>
    <w:rsid w:val="0099557D"/>
    <w:rsid w:val="009B3622"/>
    <w:rsid w:val="009B4E18"/>
    <w:rsid w:val="009B58B6"/>
    <w:rsid w:val="009C1D9E"/>
    <w:rsid w:val="009D14C1"/>
    <w:rsid w:val="009F2EEA"/>
    <w:rsid w:val="00A00930"/>
    <w:rsid w:val="00A250CE"/>
    <w:rsid w:val="00A2606B"/>
    <w:rsid w:val="00A643EE"/>
    <w:rsid w:val="00A67EB9"/>
    <w:rsid w:val="00A74FB7"/>
    <w:rsid w:val="00A8302D"/>
    <w:rsid w:val="00A94998"/>
    <w:rsid w:val="00AD2B2B"/>
    <w:rsid w:val="00AF0493"/>
    <w:rsid w:val="00AF39A0"/>
    <w:rsid w:val="00AF3DD8"/>
    <w:rsid w:val="00B017FD"/>
    <w:rsid w:val="00B13C20"/>
    <w:rsid w:val="00B177B8"/>
    <w:rsid w:val="00B35606"/>
    <w:rsid w:val="00B36BAC"/>
    <w:rsid w:val="00B507FC"/>
    <w:rsid w:val="00B61257"/>
    <w:rsid w:val="00B66A5A"/>
    <w:rsid w:val="00B72437"/>
    <w:rsid w:val="00B82AA6"/>
    <w:rsid w:val="00B82FC2"/>
    <w:rsid w:val="00B97F6A"/>
    <w:rsid w:val="00BB0C0F"/>
    <w:rsid w:val="00BD44B6"/>
    <w:rsid w:val="00BD5B3D"/>
    <w:rsid w:val="00BF6BD8"/>
    <w:rsid w:val="00C16A65"/>
    <w:rsid w:val="00C20128"/>
    <w:rsid w:val="00C576E8"/>
    <w:rsid w:val="00C7077D"/>
    <w:rsid w:val="00C75B6D"/>
    <w:rsid w:val="00CA2F53"/>
    <w:rsid w:val="00CF0E4D"/>
    <w:rsid w:val="00CF3CD8"/>
    <w:rsid w:val="00D159E5"/>
    <w:rsid w:val="00D40D61"/>
    <w:rsid w:val="00D5105E"/>
    <w:rsid w:val="00D76033"/>
    <w:rsid w:val="00D81458"/>
    <w:rsid w:val="00DA187B"/>
    <w:rsid w:val="00DB3316"/>
    <w:rsid w:val="00DC3D9C"/>
    <w:rsid w:val="00DC7BEC"/>
    <w:rsid w:val="00DE5E06"/>
    <w:rsid w:val="00E01A1D"/>
    <w:rsid w:val="00E23472"/>
    <w:rsid w:val="00E2783B"/>
    <w:rsid w:val="00E3425C"/>
    <w:rsid w:val="00E41A48"/>
    <w:rsid w:val="00E4326F"/>
    <w:rsid w:val="00E61107"/>
    <w:rsid w:val="00E92CC4"/>
    <w:rsid w:val="00E97BB4"/>
    <w:rsid w:val="00EA702F"/>
    <w:rsid w:val="00EB1143"/>
    <w:rsid w:val="00EB1BA8"/>
    <w:rsid w:val="00EC4483"/>
    <w:rsid w:val="00EC59C7"/>
    <w:rsid w:val="00EC6C67"/>
    <w:rsid w:val="00ED3AE3"/>
    <w:rsid w:val="00ED3E5C"/>
    <w:rsid w:val="00EE1AA1"/>
    <w:rsid w:val="00F05D82"/>
    <w:rsid w:val="00F2057D"/>
    <w:rsid w:val="00F275F3"/>
    <w:rsid w:val="00F301EB"/>
    <w:rsid w:val="00F35019"/>
    <w:rsid w:val="00F451F9"/>
    <w:rsid w:val="00F50414"/>
    <w:rsid w:val="00F831F5"/>
    <w:rsid w:val="00F9123D"/>
    <w:rsid w:val="00FA60DA"/>
    <w:rsid w:val="00FB6C1D"/>
    <w:rsid w:val="00FB7A2B"/>
    <w:rsid w:val="00FD508D"/>
    <w:rsid w:val="00FD7FED"/>
    <w:rsid w:val="00FE2361"/>
    <w:rsid w:val="00FE3085"/>
    <w:rsid w:val="00FF1CF7"/>
    <w:rsid w:val="02D154B6"/>
    <w:rsid w:val="0CD93263"/>
    <w:rsid w:val="11052CC5"/>
    <w:rsid w:val="132A138E"/>
    <w:rsid w:val="16B74423"/>
    <w:rsid w:val="223C0FBC"/>
    <w:rsid w:val="25EC0200"/>
    <w:rsid w:val="299172C0"/>
    <w:rsid w:val="2D96643D"/>
    <w:rsid w:val="3122633C"/>
    <w:rsid w:val="46697E56"/>
    <w:rsid w:val="4ECA64EF"/>
    <w:rsid w:val="5FB81B47"/>
    <w:rsid w:val="661E72D6"/>
    <w:rsid w:val="6E7B4103"/>
    <w:rsid w:val="781E4A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numPr>
        <w:ilvl w:val="0"/>
      </w:numPr>
      <w:outlineLvl w:val="0"/>
    </w:pPr>
  </w:style>
  <w:style w:type="paragraph" w:styleId="3">
    <w:name w:val="heading 2"/>
    <w:basedOn w:val="1"/>
    <w:next w:val="1"/>
    <w:unhideWhenUsed/>
    <w:qFormat/>
    <w:uiPriority w:val="0"/>
    <w:pPr>
      <w:numPr>
        <w:ilvl w:val="1"/>
        <w:numId w:val="1"/>
      </w:numPr>
      <w:ind w:left="0" w:firstLine="0"/>
      <w:outlineLvl w:val="1"/>
    </w:pPr>
    <w:rPr>
      <w:rFonts w:ascii="宋体" w:hAnsi="宋体"/>
      <w:b/>
      <w:bCs/>
      <w:sz w:val="24"/>
      <w:szCs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toa heading"/>
    <w:basedOn w:val="1"/>
    <w:next w:val="1"/>
    <w:semiHidden/>
    <w:qFormat/>
    <w:uiPriority w:val="0"/>
    <w:pPr>
      <w:spacing w:before="120"/>
    </w:pPr>
    <w:rPr>
      <w:rFonts w:ascii="Arial" w:hAnsi="Arial" w:cs="Arial"/>
      <w:sz w:val="24"/>
      <w:szCs w:val="24"/>
    </w:rPr>
  </w:style>
  <w:style w:type="paragraph" w:styleId="5">
    <w:name w:val="annotation text"/>
    <w:basedOn w:val="1"/>
    <w:link w:val="17"/>
    <w:autoRedefine/>
    <w:semiHidden/>
    <w:unhideWhenUsed/>
    <w:qFormat/>
    <w:uiPriority w:val="99"/>
    <w:pPr>
      <w:jc w:val="left"/>
    </w:pPr>
  </w:style>
  <w:style w:type="paragraph" w:styleId="6">
    <w:name w:val="Balloon Text"/>
    <w:basedOn w:val="1"/>
    <w:link w:val="16"/>
    <w:semiHidden/>
    <w:unhideWhenUsed/>
    <w:qFormat/>
    <w:uiPriority w:val="99"/>
    <w:rPr>
      <w:sz w:val="18"/>
      <w:szCs w:val="18"/>
    </w:rPr>
  </w:style>
  <w:style w:type="paragraph" w:styleId="7">
    <w:name w:val="footer"/>
    <w:basedOn w:val="1"/>
    <w:link w:val="15"/>
    <w:autoRedefine/>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18"/>
    <w:autoRedefine/>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autoRedefine/>
    <w:semiHidden/>
    <w:unhideWhenUsed/>
    <w:qFormat/>
    <w:uiPriority w:val="99"/>
    <w:rPr>
      <w:sz w:val="21"/>
      <w:szCs w:val="21"/>
    </w:rPr>
  </w:style>
  <w:style w:type="character" w:customStyle="1" w:styleId="14">
    <w:name w:val="页眉 字符"/>
    <w:basedOn w:val="12"/>
    <w:link w:val="8"/>
    <w:autoRedefine/>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sz w:val="18"/>
      <w:szCs w:val="18"/>
    </w:rPr>
  </w:style>
  <w:style w:type="character" w:customStyle="1" w:styleId="17">
    <w:name w:val="批注文字 字符"/>
    <w:basedOn w:val="12"/>
    <w:link w:val="5"/>
    <w:semiHidden/>
    <w:qFormat/>
    <w:uiPriority w:val="99"/>
  </w:style>
  <w:style w:type="character" w:customStyle="1" w:styleId="18">
    <w:name w:val="批注主题 字符"/>
    <w:basedOn w:val="17"/>
    <w:link w:val="9"/>
    <w:semiHidden/>
    <w:qFormat/>
    <w:uiPriority w:val="99"/>
    <w:rPr>
      <w:b/>
      <w:bCs/>
    </w:rPr>
  </w:style>
  <w:style w:type="table" w:customStyle="1" w:styleId="19">
    <w:name w:val="OP_ExcelTableContent-1472"/>
    <w:basedOn w:val="10"/>
    <w:qFormat/>
    <w:uiPriority w:val="0"/>
    <w:rPr>
      <w:color w:val="1E2022"/>
    </w:rPr>
    <w:tblPr>
      <w:tblBorders>
        <w:top w:val="single" w:color="1E2022" w:sz="4" w:space="0"/>
        <w:left w:val="single" w:color="1E2022" w:sz="4" w:space="0"/>
        <w:bottom w:val="single" w:color="1E2022" w:sz="4" w:space="0"/>
        <w:right w:val="single" w:color="1E2022" w:sz="4" w:space="0"/>
        <w:insideH w:val="dotted" w:color="1E2022" w:sz="4" w:space="0"/>
        <w:insideV w:val="dotted" w:color="1E2022" w:sz="4" w:space="0"/>
      </w:tblBorders>
    </w:tblPr>
    <w:tcPr>
      <w:shd w:val="clear" w:color="auto" w:fill="auto"/>
    </w:tcPr>
    <w:tblStylePr w:type="firstRow">
      <w:rPr>
        <w:b/>
      </w:rPr>
      <w:tcPr>
        <w:tcBorders>
          <w:top w:val="single" w:color="1E2022" w:sz="4" w:space="0"/>
          <w:left w:val="single" w:color="1E2022" w:sz="4" w:space="0"/>
          <w:bottom w:val="single" w:color="1E2022" w:sz="4" w:space="0"/>
          <w:right w:val="single" w:color="1E2022" w:sz="4" w:space="0"/>
          <w:insideH w:val="dotted" w:sz="4" w:space="0"/>
          <w:insideV w:val="dotted" w:sz="4" w:space="0"/>
        </w:tcBorders>
        <w:shd w:val="clear" w:color="auto" w:fill="FFFFFF"/>
      </w:tc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4</Pages>
  <Words>4830</Words>
  <Characters>4973</Characters>
  <Lines>219</Lines>
  <Paragraphs>200</Paragraphs>
  <TotalTime>12</TotalTime>
  <ScaleCrop>false</ScaleCrop>
  <LinksUpToDate>false</LinksUpToDate>
  <CharactersWithSpaces>4981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2025-04-25T09:52:00Z</dcterms:created>
  <dc:creator>Windows User</dc:creator>
  <cp:lastModifiedBy>岩哥是英才</cp:lastModifiedBy>
  <cp:lastPrinted>2024-07-03T02:39:00Z</cp:lastPrinted>
  <dcterms:modified xsi:type="dcterms:W3CDTF">2026-06-23T08:26:48Z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69B5893CFE2A441280F1CC01EB11E4E8_13</vt:lpwstr>
  </property>
  <property fmtid="{D5CDD505-2E9C-101B-9397-08002B2CF9AE}" pid="4" name="KSOTemplateDocerSaveRecord">
    <vt:lpwstr>eyJoZGlkIjoiZGEyNDI4NDFhZmM3MDIzZWY2NzhlYTFhNjIxZDExZmMiLCJ1c2VySWQiOiI2OTEzMjY3MTEifQ==</vt:lpwstr>
  </property>
</Properties>
</file>