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2C571">
      <w:pPr>
        <w:pStyle w:val="2"/>
        <w:tabs>
          <w:tab w:val="left" w:pos="1131"/>
        </w:tabs>
        <w:spacing w:before="136" w:line="219" w:lineRule="auto"/>
        <w:ind w:left="1270"/>
        <w:rPr>
          <w:rFonts w:ascii="Arial"/>
          <w:sz w:val="21"/>
        </w:rPr>
      </w:pPr>
      <w:r>
        <w:rPr>
          <w:rFonts w:hint="default" w:ascii="Times New Roman" w:hAnsi="Times New Roman" w:eastAsia="方正小标宋简体" w:cs="Times New Roman"/>
          <w:b/>
          <w:bCs/>
          <w:spacing w:val="2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pacing w:val="2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2"/>
          <w:sz w:val="44"/>
          <w:szCs w:val="44"/>
        </w:rPr>
        <w:t>届毕业生纪念品采购需求</w:t>
      </w:r>
    </w:p>
    <w:p w14:paraId="7B60AC0D">
      <w:pPr>
        <w:spacing w:before="95" w:line="222" w:lineRule="auto"/>
        <w:ind w:left="59"/>
        <w:outlineLvl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7"/>
          <w:sz w:val="32"/>
          <w:szCs w:val="32"/>
        </w:rPr>
        <w:t>一</w:t>
      </w:r>
      <w:r>
        <w:rPr>
          <w:rFonts w:hint="eastAsia" w:ascii="黑体" w:hAnsi="黑体" w:eastAsia="黑体" w:cs="黑体"/>
          <w:spacing w:val="-7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/>
          <w:bCs/>
          <w:spacing w:val="7"/>
          <w:sz w:val="32"/>
          <w:szCs w:val="32"/>
        </w:rPr>
        <w:t>、数量和交货时间</w:t>
      </w:r>
    </w:p>
    <w:p w14:paraId="360DDCA4">
      <w:pPr>
        <w:spacing w:before="152" w:line="221" w:lineRule="auto"/>
        <w:ind w:left="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5"/>
          <w:sz w:val="32"/>
          <w:szCs w:val="32"/>
        </w:rPr>
        <w:t>毕业生纪念品数量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00</w:t>
      </w:r>
      <w:r>
        <w:rPr>
          <w:rFonts w:ascii="仿宋" w:hAnsi="仿宋" w:eastAsia="仿宋" w:cs="仿宋"/>
          <w:spacing w:val="25"/>
          <w:sz w:val="32"/>
          <w:szCs w:val="32"/>
        </w:rPr>
        <w:t>份</w:t>
      </w:r>
    </w:p>
    <w:p w14:paraId="1A7021F6">
      <w:pPr>
        <w:spacing w:before="143" w:line="222" w:lineRule="auto"/>
        <w:ind w:left="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32"/>
          <w:sz w:val="32"/>
          <w:szCs w:val="32"/>
        </w:rPr>
        <w:t>交货完成时间：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spacing w:val="3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</w:rPr>
        <w:t>6</w:t>
      </w:r>
      <w:r>
        <w:rPr>
          <w:rFonts w:ascii="仿宋" w:hAnsi="仿宋" w:eastAsia="仿宋" w:cs="仿宋"/>
          <w:spacing w:val="3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spacing w:val="32"/>
          <w:sz w:val="32"/>
          <w:szCs w:val="32"/>
        </w:rPr>
        <w:t>日前</w:t>
      </w:r>
    </w:p>
    <w:p w14:paraId="3535904F">
      <w:pPr>
        <w:spacing w:before="122" w:line="293" w:lineRule="auto"/>
        <w:ind w:left="54" w:right="36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3"/>
          <w:sz w:val="32"/>
          <w:szCs w:val="32"/>
        </w:rPr>
        <w:t>预算金额：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  <w:lang w:val="en-US" w:eastAsia="zh-CN"/>
        </w:rPr>
        <w:t>75000</w:t>
      </w:r>
      <w:r>
        <w:rPr>
          <w:rFonts w:ascii="仿宋" w:hAnsi="仿宋" w:eastAsia="仿宋" w:cs="仿宋"/>
          <w:spacing w:val="23"/>
          <w:sz w:val="32"/>
          <w:szCs w:val="32"/>
        </w:rPr>
        <w:t>元(包含设计、运输、装卸、管理、税务</w:t>
      </w:r>
      <w:r>
        <w:rPr>
          <w:rFonts w:ascii="仿宋" w:hAnsi="仿宋" w:eastAsia="仿宋" w:cs="仿宋"/>
          <w:spacing w:val="25"/>
          <w:sz w:val="32"/>
          <w:szCs w:val="32"/>
        </w:rPr>
        <w:t>等相关费用。)</w:t>
      </w:r>
    </w:p>
    <w:p w14:paraId="3E7F7B69">
      <w:pPr>
        <w:pStyle w:val="2"/>
        <w:spacing w:before="1" w:line="217" w:lineRule="auto"/>
        <w:ind w:left="79"/>
        <w:outlineLvl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-3"/>
          <w:sz w:val="32"/>
          <w:szCs w:val="32"/>
        </w:rPr>
        <w:t>二、评分指标</w:t>
      </w:r>
    </w:p>
    <w:tbl>
      <w:tblPr>
        <w:tblStyle w:val="7"/>
        <w:tblW w:w="8140" w:type="dxa"/>
        <w:tblInd w:w="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3"/>
        <w:gridCol w:w="1078"/>
        <w:gridCol w:w="4285"/>
        <w:gridCol w:w="914"/>
      </w:tblGrid>
      <w:tr w14:paraId="7DB77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1863" w:type="dxa"/>
            <w:vAlign w:val="top"/>
          </w:tcPr>
          <w:p w14:paraId="2A728383">
            <w:pPr>
              <w:pStyle w:val="6"/>
              <w:spacing w:before="51" w:line="215" w:lineRule="auto"/>
              <w:ind w:left="527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评分指标</w:t>
            </w:r>
          </w:p>
        </w:tc>
        <w:tc>
          <w:tcPr>
            <w:tcW w:w="5363" w:type="dxa"/>
            <w:gridSpan w:val="2"/>
            <w:vAlign w:val="top"/>
          </w:tcPr>
          <w:p w14:paraId="6FDCDBA0">
            <w:pPr>
              <w:pStyle w:val="6"/>
              <w:spacing w:before="53" w:line="213" w:lineRule="auto"/>
              <w:ind w:left="228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评分细则</w:t>
            </w:r>
          </w:p>
        </w:tc>
        <w:tc>
          <w:tcPr>
            <w:tcW w:w="914" w:type="dxa"/>
            <w:vAlign w:val="top"/>
          </w:tcPr>
          <w:p w14:paraId="1559AA95">
            <w:pPr>
              <w:pStyle w:val="6"/>
              <w:spacing w:before="53" w:line="213" w:lineRule="auto"/>
              <w:ind w:left="24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3"/>
                <w:sz w:val="20"/>
                <w:szCs w:val="20"/>
              </w:rPr>
              <w:t>分值</w:t>
            </w:r>
          </w:p>
        </w:tc>
      </w:tr>
      <w:tr w14:paraId="2894B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63" w:type="dxa"/>
            <w:vAlign w:val="center"/>
          </w:tcPr>
          <w:p w14:paraId="119F6CE7">
            <w:pPr>
              <w:pStyle w:val="6"/>
              <w:spacing w:before="65" w:line="218" w:lineRule="auto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价格</w:t>
            </w:r>
          </w:p>
        </w:tc>
        <w:tc>
          <w:tcPr>
            <w:tcW w:w="5363" w:type="dxa"/>
            <w:gridSpan w:val="2"/>
            <w:vAlign w:val="center"/>
          </w:tcPr>
          <w:p w14:paraId="63CA917F">
            <w:pPr>
              <w:pStyle w:val="6"/>
              <w:spacing w:before="56" w:line="250" w:lineRule="auto"/>
              <w:ind w:left="102"/>
              <w:jc w:val="both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满足</w:t>
            </w:r>
            <w:r>
              <w:rPr>
                <w:rFonts w:hint="eastAsia"/>
                <w:spacing w:val="-6"/>
                <w:sz w:val="20"/>
                <w:szCs w:val="20"/>
                <w:lang w:val="en-US" w:eastAsia="zh-CN"/>
              </w:rPr>
              <w:t>采购</w:t>
            </w:r>
            <w:r>
              <w:rPr>
                <w:spacing w:val="-6"/>
                <w:sz w:val="20"/>
                <w:szCs w:val="20"/>
              </w:rPr>
              <w:t>文件要求且</w:t>
            </w:r>
            <w:r>
              <w:rPr>
                <w:rFonts w:hint="eastAsia"/>
                <w:spacing w:val="-6"/>
                <w:sz w:val="20"/>
                <w:szCs w:val="20"/>
                <w:lang w:val="en-US" w:eastAsia="zh-CN"/>
              </w:rPr>
              <w:t>响应</w:t>
            </w:r>
            <w:r>
              <w:rPr>
                <w:spacing w:val="-6"/>
                <w:sz w:val="20"/>
                <w:szCs w:val="20"/>
              </w:rPr>
              <w:t>价格最低的报价为基准价，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其价格分为</w:t>
            </w:r>
            <w:r>
              <w:rPr>
                <w:rFonts w:hint="eastAsia"/>
                <w:spacing w:val="-4"/>
                <w:sz w:val="20"/>
                <w:szCs w:val="20"/>
                <w:lang w:val="en-US" w:eastAsia="zh-CN"/>
              </w:rPr>
              <w:t>40</w:t>
            </w:r>
            <w:r>
              <w:rPr>
                <w:spacing w:val="-4"/>
                <w:sz w:val="20"/>
                <w:szCs w:val="20"/>
              </w:rPr>
              <w:t>分。价格分统一按照下列公式计</w:t>
            </w:r>
            <w:r>
              <w:rPr>
                <w:spacing w:val="-3"/>
                <w:sz w:val="20"/>
                <w:szCs w:val="20"/>
              </w:rPr>
              <w:t>算：报价得分=(基准价/报价)×</w:t>
            </w:r>
            <w:r>
              <w:rPr>
                <w:rFonts w:hint="eastAsia"/>
                <w:spacing w:val="-3"/>
                <w:sz w:val="20"/>
                <w:szCs w:val="20"/>
                <w:lang w:val="en-US" w:eastAsia="zh-CN"/>
              </w:rPr>
              <w:t>40</w:t>
            </w:r>
            <w:r>
              <w:rPr>
                <w:spacing w:val="-3"/>
                <w:sz w:val="20"/>
                <w:szCs w:val="20"/>
              </w:rPr>
              <w:t>。</w:t>
            </w:r>
          </w:p>
        </w:tc>
        <w:tc>
          <w:tcPr>
            <w:tcW w:w="914" w:type="dxa"/>
            <w:vAlign w:val="center"/>
          </w:tcPr>
          <w:p w14:paraId="689CAB0F">
            <w:pPr>
              <w:pStyle w:val="6"/>
              <w:spacing w:before="65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-3"/>
                <w:sz w:val="20"/>
                <w:szCs w:val="20"/>
                <w:lang w:val="en-US" w:eastAsia="zh-CN"/>
              </w:rPr>
              <w:t>40</w:t>
            </w:r>
          </w:p>
        </w:tc>
      </w:tr>
      <w:tr w14:paraId="72B18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863" w:type="dxa"/>
            <w:vMerge w:val="restart"/>
            <w:tcBorders>
              <w:bottom w:val="nil"/>
            </w:tcBorders>
            <w:vAlign w:val="center"/>
          </w:tcPr>
          <w:p w14:paraId="7D6BBFF7">
            <w:pPr>
              <w:pStyle w:val="6"/>
              <w:spacing w:before="65" w:line="220" w:lineRule="auto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业绩情况</w:t>
            </w:r>
          </w:p>
        </w:tc>
        <w:tc>
          <w:tcPr>
            <w:tcW w:w="1078" w:type="dxa"/>
            <w:vAlign w:val="center"/>
          </w:tcPr>
          <w:p w14:paraId="2B184F4F">
            <w:pPr>
              <w:pStyle w:val="6"/>
              <w:spacing w:before="50" w:line="240" w:lineRule="auto"/>
              <w:ind w:right="142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获奖情况</w:t>
            </w:r>
            <w:r>
              <w:rPr>
                <w:spacing w:val="8"/>
                <w:sz w:val="20"/>
                <w:szCs w:val="20"/>
              </w:rPr>
              <w:t>及行业认</w:t>
            </w:r>
            <w:r>
              <w:rPr>
                <w:sz w:val="20"/>
                <w:szCs w:val="20"/>
              </w:rPr>
              <w:t>定</w:t>
            </w:r>
          </w:p>
        </w:tc>
        <w:tc>
          <w:tcPr>
            <w:tcW w:w="4285" w:type="dxa"/>
            <w:vAlign w:val="center"/>
          </w:tcPr>
          <w:p w14:paraId="7535B714">
            <w:pPr>
              <w:pStyle w:val="6"/>
              <w:spacing w:before="189" w:line="298" w:lineRule="auto"/>
              <w:ind w:left="103" w:hanging="89"/>
              <w:jc w:val="both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参与由政府官方发起的文创设计类活动并</w:t>
            </w:r>
            <w:r>
              <w:rPr>
                <w:spacing w:val="-2"/>
                <w:sz w:val="20"/>
                <w:szCs w:val="20"/>
              </w:rPr>
              <w:t>获</w:t>
            </w:r>
            <w:r>
              <w:rPr>
                <w:color w:val="auto"/>
                <w:spacing w:val="-2"/>
                <w:sz w:val="20"/>
                <w:szCs w:val="20"/>
              </w:rPr>
              <w:t>得相关文创</w:t>
            </w:r>
            <w:r>
              <w:rPr>
                <w:rFonts w:hint="eastAsia"/>
                <w:color w:val="auto"/>
                <w:spacing w:val="-2"/>
                <w:sz w:val="20"/>
                <w:szCs w:val="20"/>
                <w:lang w:val="en-US" w:eastAsia="zh-CN"/>
              </w:rPr>
              <w:t>奖项，</w:t>
            </w:r>
            <w:r>
              <w:rPr>
                <w:spacing w:val="-1"/>
                <w:sz w:val="20"/>
                <w:szCs w:val="20"/>
              </w:rPr>
              <w:t>每1项得</w:t>
            </w:r>
            <w:r>
              <w:rPr>
                <w:rFonts w:hint="eastAsia"/>
                <w:spacing w:val="-1"/>
                <w:sz w:val="20"/>
                <w:szCs w:val="20"/>
                <w:lang w:val="en-US" w:eastAsia="zh-CN"/>
              </w:rPr>
              <w:t>2</w:t>
            </w:r>
            <w:r>
              <w:rPr>
                <w:spacing w:val="-1"/>
                <w:sz w:val="20"/>
                <w:szCs w:val="20"/>
              </w:rPr>
              <w:t>分</w:t>
            </w:r>
            <w:r>
              <w:rPr>
                <w:rFonts w:hint="eastAsia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spacing w:val="-1"/>
                <w:sz w:val="20"/>
                <w:szCs w:val="20"/>
              </w:rPr>
              <w:t>最高</w:t>
            </w:r>
            <w:r>
              <w:rPr>
                <w:rFonts w:hint="eastAsia"/>
                <w:spacing w:val="-1"/>
                <w:sz w:val="20"/>
                <w:szCs w:val="20"/>
                <w:lang w:val="en-US" w:eastAsia="zh-CN"/>
              </w:rPr>
              <w:t>8</w:t>
            </w:r>
            <w:r>
              <w:rPr>
                <w:spacing w:val="-1"/>
                <w:sz w:val="20"/>
                <w:szCs w:val="20"/>
              </w:rPr>
              <w:t>分。</w:t>
            </w:r>
            <w:r>
              <w:rPr>
                <w:sz w:val="20"/>
                <w:szCs w:val="20"/>
              </w:rPr>
              <w:t>(提供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证明并</w:t>
            </w:r>
            <w:r>
              <w:rPr>
                <w:sz w:val="20"/>
                <w:szCs w:val="20"/>
              </w:rPr>
              <w:t>加盖公章</w:t>
            </w:r>
            <w:r>
              <w:rPr>
                <w:rFonts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914" w:type="dxa"/>
            <w:vAlign w:val="center"/>
          </w:tcPr>
          <w:p w14:paraId="7BF0736A">
            <w:pPr>
              <w:pStyle w:val="6"/>
              <w:spacing w:before="6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pacing w:val="-6"/>
                <w:sz w:val="20"/>
                <w:szCs w:val="20"/>
                <w:lang w:val="en-US" w:eastAsia="zh-CN"/>
              </w:rPr>
              <w:t>8</w:t>
            </w:r>
          </w:p>
        </w:tc>
      </w:tr>
      <w:tr w14:paraId="77956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863" w:type="dxa"/>
            <w:vMerge w:val="continue"/>
            <w:tcBorders>
              <w:top w:val="nil"/>
            </w:tcBorders>
            <w:vAlign w:val="center"/>
          </w:tcPr>
          <w:p w14:paraId="52989925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14:paraId="0BFC7141">
            <w:pPr>
              <w:pStyle w:val="6"/>
              <w:spacing w:line="240" w:lineRule="auto"/>
              <w:ind w:right="0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成功项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目</w:t>
            </w:r>
            <w:r>
              <w:rPr>
                <w:spacing w:val="-2"/>
                <w:sz w:val="20"/>
                <w:szCs w:val="20"/>
              </w:rPr>
              <w:t>案例，同类</w:t>
            </w:r>
            <w:r>
              <w:rPr>
                <w:spacing w:val="31"/>
                <w:sz w:val="20"/>
                <w:szCs w:val="20"/>
              </w:rPr>
              <w:t>业绩</w:t>
            </w:r>
          </w:p>
        </w:tc>
        <w:tc>
          <w:tcPr>
            <w:tcW w:w="4285" w:type="dxa"/>
            <w:vAlign w:val="center"/>
          </w:tcPr>
          <w:p w14:paraId="66F58615">
            <w:pPr>
              <w:pStyle w:val="6"/>
              <w:spacing w:before="60" w:line="219" w:lineRule="auto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近3年有独立完成过类似项目的业绩，每提供一份</w:t>
            </w:r>
          </w:p>
          <w:p w14:paraId="449648D9">
            <w:pPr>
              <w:pStyle w:val="6"/>
              <w:spacing w:before="63" w:line="253" w:lineRule="auto"/>
              <w:ind w:left="113" w:right="24" w:hanging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合同得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3</w:t>
            </w:r>
            <w:r>
              <w:rPr>
                <w:sz w:val="20"/>
                <w:szCs w:val="20"/>
              </w:rPr>
              <w:t>分，最高1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2</w:t>
            </w:r>
            <w:r>
              <w:rPr>
                <w:sz w:val="20"/>
                <w:szCs w:val="20"/>
              </w:rPr>
              <w:t>分(提供复印件加盖公章，原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件备查)。</w:t>
            </w:r>
          </w:p>
        </w:tc>
        <w:tc>
          <w:tcPr>
            <w:tcW w:w="914" w:type="dxa"/>
            <w:vAlign w:val="center"/>
          </w:tcPr>
          <w:p w14:paraId="0ECFABF6">
            <w:pPr>
              <w:pStyle w:val="6"/>
              <w:spacing w:before="65"/>
              <w:jc w:val="center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</w:t>
            </w:r>
            <w:r>
              <w:rPr>
                <w:rFonts w:hint="eastAsia"/>
                <w:spacing w:val="-6"/>
                <w:sz w:val="20"/>
                <w:szCs w:val="20"/>
                <w:lang w:val="en-US" w:eastAsia="zh-CN"/>
              </w:rPr>
              <w:t>2</w:t>
            </w:r>
          </w:p>
        </w:tc>
      </w:tr>
      <w:tr w14:paraId="3AEF9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1863" w:type="dxa"/>
            <w:vMerge w:val="restart"/>
            <w:tcBorders>
              <w:bottom w:val="nil"/>
            </w:tcBorders>
            <w:vAlign w:val="center"/>
          </w:tcPr>
          <w:p w14:paraId="5C3E40D2">
            <w:pPr>
              <w:pStyle w:val="6"/>
              <w:spacing w:before="65" w:line="219" w:lineRule="auto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服务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及设计</w:t>
            </w:r>
            <w:r>
              <w:rPr>
                <w:spacing w:val="-2"/>
                <w:sz w:val="20"/>
                <w:szCs w:val="20"/>
              </w:rPr>
              <w:t>方案</w:t>
            </w:r>
          </w:p>
        </w:tc>
        <w:tc>
          <w:tcPr>
            <w:tcW w:w="1078" w:type="dxa"/>
            <w:vAlign w:val="center"/>
          </w:tcPr>
          <w:p w14:paraId="7384294D">
            <w:pPr>
              <w:pStyle w:val="6"/>
              <w:spacing w:before="65" w:line="240" w:lineRule="auto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服务方案及响应度</w:t>
            </w:r>
          </w:p>
        </w:tc>
        <w:tc>
          <w:tcPr>
            <w:tcW w:w="4285" w:type="dxa"/>
            <w:vAlign w:val="center"/>
          </w:tcPr>
          <w:p w14:paraId="7ABC98EF">
            <w:pPr>
              <w:pStyle w:val="6"/>
              <w:spacing w:before="52" w:line="262" w:lineRule="auto"/>
              <w:jc w:val="both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横向比较，根据服务方案及承诺酌</w:t>
            </w:r>
            <w:r>
              <w:rPr>
                <w:rFonts w:hint="eastAsia"/>
                <w:spacing w:val="-4"/>
                <w:sz w:val="20"/>
                <w:szCs w:val="20"/>
                <w:lang w:val="en-US" w:eastAsia="zh-CN"/>
              </w:rPr>
              <w:t>情</w:t>
            </w:r>
            <w:r>
              <w:rPr>
                <w:spacing w:val="-4"/>
                <w:sz w:val="20"/>
                <w:szCs w:val="20"/>
              </w:rPr>
              <w:t>打分，优</w:t>
            </w:r>
            <w:r>
              <w:rPr>
                <w:spacing w:val="-2"/>
                <w:sz w:val="20"/>
                <w:szCs w:val="20"/>
              </w:rPr>
              <w:t>1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1</w:t>
            </w:r>
            <w:r>
              <w:rPr>
                <w:spacing w:val="-2"/>
                <w:sz w:val="20"/>
                <w:szCs w:val="20"/>
              </w:rPr>
              <w:t>-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15</w:t>
            </w:r>
            <w:r>
              <w:rPr>
                <w:spacing w:val="-2"/>
                <w:sz w:val="20"/>
                <w:szCs w:val="20"/>
              </w:rPr>
              <w:t>分，良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6</w:t>
            </w:r>
            <w:r>
              <w:rPr>
                <w:spacing w:val="-2"/>
                <w:sz w:val="20"/>
                <w:szCs w:val="20"/>
              </w:rPr>
              <w:t>-1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0</w:t>
            </w:r>
            <w:r>
              <w:rPr>
                <w:spacing w:val="-2"/>
                <w:sz w:val="20"/>
                <w:szCs w:val="20"/>
              </w:rPr>
              <w:t>分，差1-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5</w:t>
            </w:r>
            <w:r>
              <w:rPr>
                <w:spacing w:val="-2"/>
                <w:sz w:val="20"/>
                <w:szCs w:val="20"/>
              </w:rPr>
              <w:t>分，不提供不得分。</w:t>
            </w:r>
            <w:r>
              <w:rPr>
                <w:spacing w:val="-9"/>
                <w:sz w:val="20"/>
                <w:szCs w:val="20"/>
              </w:rPr>
              <w:t>服务方案应包括：响应服务时间承诺、服务保证措</w:t>
            </w:r>
            <w:r>
              <w:rPr>
                <w:spacing w:val="8"/>
                <w:sz w:val="20"/>
                <w:szCs w:val="20"/>
              </w:rPr>
              <w:t>施、服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务应</w:t>
            </w:r>
            <w:r>
              <w:rPr>
                <w:spacing w:val="8"/>
                <w:sz w:val="20"/>
                <w:szCs w:val="20"/>
              </w:rPr>
              <w:t>急预案。</w:t>
            </w:r>
          </w:p>
        </w:tc>
        <w:tc>
          <w:tcPr>
            <w:tcW w:w="914" w:type="dxa"/>
            <w:vAlign w:val="center"/>
          </w:tcPr>
          <w:p w14:paraId="37768DE5">
            <w:pPr>
              <w:pStyle w:val="6"/>
              <w:spacing w:before="6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pacing w:val="-3"/>
                <w:sz w:val="20"/>
                <w:szCs w:val="20"/>
                <w:lang w:val="en-US" w:eastAsia="zh-CN"/>
              </w:rPr>
              <w:t>15</w:t>
            </w:r>
          </w:p>
        </w:tc>
      </w:tr>
      <w:tr w14:paraId="36616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1863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60C59932">
            <w:pPr>
              <w:jc w:val="both"/>
              <w:rPr>
                <w:rFonts w:ascii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bottom w:val="single" w:color="auto" w:sz="4" w:space="0"/>
            </w:tcBorders>
            <w:vAlign w:val="center"/>
          </w:tcPr>
          <w:p w14:paraId="6E47D357">
            <w:pPr>
              <w:pStyle w:val="6"/>
              <w:spacing w:before="65" w:line="220" w:lineRule="auto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设计方案</w:t>
            </w:r>
          </w:p>
        </w:tc>
        <w:tc>
          <w:tcPr>
            <w:tcW w:w="4285" w:type="dxa"/>
            <w:tcBorders>
              <w:bottom w:val="single" w:color="auto" w:sz="4" w:space="0"/>
            </w:tcBorders>
            <w:vAlign w:val="center"/>
          </w:tcPr>
          <w:p w14:paraId="30A26C86">
            <w:pPr>
              <w:pStyle w:val="6"/>
              <w:spacing w:before="53" w:line="263" w:lineRule="auto"/>
              <w:ind w:left="14" w:firstLine="19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横向比较，根据设计方案酌情打分，优</w:t>
            </w:r>
            <w:r>
              <w:rPr>
                <w:rFonts w:hint="eastAsia"/>
                <w:spacing w:val="-3"/>
                <w:sz w:val="20"/>
                <w:szCs w:val="20"/>
                <w:lang w:val="en-US" w:eastAsia="zh-CN"/>
              </w:rPr>
              <w:t>20</w:t>
            </w:r>
            <w:r>
              <w:rPr>
                <w:spacing w:val="-3"/>
                <w:sz w:val="20"/>
                <w:szCs w:val="20"/>
              </w:rPr>
              <w:t>-2</w:t>
            </w:r>
            <w:r>
              <w:rPr>
                <w:rFonts w:hint="eastAsia"/>
                <w:spacing w:val="-3"/>
                <w:sz w:val="20"/>
                <w:szCs w:val="20"/>
                <w:lang w:val="en-US" w:eastAsia="zh-CN"/>
              </w:rPr>
              <w:t>5</w:t>
            </w:r>
            <w:r>
              <w:rPr>
                <w:spacing w:val="-3"/>
                <w:sz w:val="20"/>
                <w:szCs w:val="20"/>
              </w:rPr>
              <w:t>分，</w:t>
            </w:r>
            <w:r>
              <w:rPr>
                <w:spacing w:val="-1"/>
                <w:sz w:val="20"/>
                <w:szCs w:val="20"/>
              </w:rPr>
              <w:t>良</w:t>
            </w:r>
            <w:r>
              <w:rPr>
                <w:rFonts w:hint="eastAsia"/>
                <w:spacing w:val="-1"/>
                <w:sz w:val="20"/>
                <w:szCs w:val="20"/>
                <w:lang w:val="en-US" w:eastAsia="zh-CN"/>
              </w:rPr>
              <w:t>10</w:t>
            </w:r>
            <w:r>
              <w:rPr>
                <w:spacing w:val="-1"/>
                <w:sz w:val="20"/>
                <w:szCs w:val="20"/>
              </w:rPr>
              <w:t>-</w:t>
            </w:r>
            <w:r>
              <w:rPr>
                <w:rFonts w:hint="eastAsia"/>
                <w:spacing w:val="-1"/>
                <w:sz w:val="20"/>
                <w:szCs w:val="20"/>
                <w:lang w:val="en-US" w:eastAsia="zh-CN"/>
              </w:rPr>
              <w:t>19</w:t>
            </w:r>
            <w:r>
              <w:rPr>
                <w:spacing w:val="-1"/>
                <w:sz w:val="20"/>
                <w:szCs w:val="20"/>
              </w:rPr>
              <w:t>分，差1-</w:t>
            </w:r>
            <w:r>
              <w:rPr>
                <w:rFonts w:hint="eastAsia"/>
                <w:spacing w:val="-1"/>
                <w:sz w:val="20"/>
                <w:szCs w:val="20"/>
                <w:lang w:val="en-US" w:eastAsia="zh-CN"/>
              </w:rPr>
              <w:t>9</w:t>
            </w:r>
            <w:r>
              <w:rPr>
                <w:spacing w:val="-1"/>
                <w:sz w:val="20"/>
                <w:szCs w:val="20"/>
              </w:rPr>
              <w:t>分，不提供不得分</w:t>
            </w:r>
            <w:r>
              <w:rPr>
                <w:rFonts w:hint="eastAsia"/>
                <w:spacing w:val="-1"/>
                <w:sz w:val="20"/>
                <w:szCs w:val="20"/>
                <w:lang w:eastAsia="zh-CN"/>
              </w:rPr>
              <w:t>。</w:t>
            </w:r>
            <w:r>
              <w:rPr>
                <w:spacing w:val="-2"/>
                <w:sz w:val="20"/>
                <w:szCs w:val="20"/>
              </w:rPr>
              <w:t>设计方案</w:t>
            </w:r>
            <w:r>
              <w:rPr>
                <w:spacing w:val="-5"/>
                <w:sz w:val="20"/>
                <w:szCs w:val="20"/>
              </w:rPr>
              <w:t>内容应包括但不限于：设计理念与思路(充分体现</w:t>
            </w:r>
            <w:r>
              <w:rPr>
                <w:spacing w:val="-3"/>
                <w:sz w:val="20"/>
                <w:szCs w:val="20"/>
              </w:rPr>
              <w:t>我</w:t>
            </w:r>
            <w:r>
              <w:rPr>
                <w:rFonts w:hint="eastAsia"/>
                <w:spacing w:val="-3"/>
                <w:sz w:val="20"/>
                <w:szCs w:val="20"/>
                <w:lang w:val="en-US" w:eastAsia="zh-CN"/>
              </w:rPr>
              <w:t>院</w:t>
            </w:r>
            <w:r>
              <w:rPr>
                <w:spacing w:val="-3"/>
                <w:sz w:val="20"/>
                <w:szCs w:val="20"/>
              </w:rPr>
              <w:t>文化底蕴和品牌特色)、材质、规格、</w:t>
            </w:r>
            <w:r>
              <w:rPr>
                <w:color w:val="auto"/>
                <w:spacing w:val="10"/>
                <w:sz w:val="20"/>
                <w:szCs w:val="20"/>
              </w:rPr>
              <w:t>图片</w:t>
            </w:r>
            <w:r>
              <w:rPr>
                <w:spacing w:val="10"/>
                <w:sz w:val="20"/>
                <w:szCs w:val="20"/>
              </w:rPr>
              <w:t>等内容。</w:t>
            </w:r>
          </w:p>
        </w:tc>
        <w:tc>
          <w:tcPr>
            <w:tcW w:w="914" w:type="dxa"/>
            <w:tcBorders>
              <w:bottom w:val="single" w:color="auto" w:sz="4" w:space="0"/>
            </w:tcBorders>
            <w:vAlign w:val="center"/>
          </w:tcPr>
          <w:p w14:paraId="00A79D9F">
            <w:pPr>
              <w:pStyle w:val="6"/>
              <w:spacing w:before="65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</w:t>
            </w:r>
            <w:r>
              <w:rPr>
                <w:rFonts w:hint="eastAsia"/>
                <w:spacing w:val="-3"/>
                <w:sz w:val="20"/>
                <w:szCs w:val="20"/>
                <w:lang w:val="en-US" w:eastAsia="zh-CN"/>
              </w:rPr>
              <w:t>5</w:t>
            </w:r>
          </w:p>
        </w:tc>
      </w:tr>
    </w:tbl>
    <w:p w14:paraId="57193E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1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本次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采用综合评分法，总分为100分，计算结果保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留两位数。按综合得分由高到低顺序排列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，得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分相同的，则按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设计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方案分由高到低确定排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名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。</w:t>
      </w:r>
    </w:p>
    <w:p w14:paraId="5D5119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F0E9909-2DEA-41E3-AEE2-03DF7FC084F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D82231C-81AE-4EE6-8EEB-AF4645D5AD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C535705-11B4-4BCC-8A6E-BB0E21F6FC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549755F-F084-4718-99FD-3849BFC0CD6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ACD642C0-C629-48C3-802B-1813211F8A9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27457"/>
    <w:rsid w:val="02CD22E7"/>
    <w:rsid w:val="059655F1"/>
    <w:rsid w:val="0D69568B"/>
    <w:rsid w:val="12D020DC"/>
    <w:rsid w:val="227361F6"/>
    <w:rsid w:val="39F24B88"/>
    <w:rsid w:val="54DD7AC9"/>
    <w:rsid w:val="559E13D0"/>
    <w:rsid w:val="61676D90"/>
    <w:rsid w:val="67FD57F9"/>
    <w:rsid w:val="71312508"/>
    <w:rsid w:val="7E0C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562</Characters>
  <Lines>0</Lines>
  <Paragraphs>0</Paragraphs>
  <TotalTime>22</TotalTime>
  <ScaleCrop>false</ScaleCrop>
  <LinksUpToDate>false</LinksUpToDate>
  <CharactersWithSpaces>565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2026-04-16T02:07:00Z</dcterms:created>
  <dc:creator>ZDH</dc:creator>
  <cp:lastModifiedBy>13593</cp:lastModifiedBy>
  <cp:lastPrinted>2026-04-21T07:30:00Z</cp:lastPrinted>
  <dcterms:modified xsi:type="dcterms:W3CDTF">2026-04-24T07:34:45Z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eyJoZGlkIjoiZWY5YWIwMjdmYzcxMWYwNjljMWU1NDA3MWU5ZDkwM2EiLCJ1c2VySWQiOiI2NDMzNTgxODgifQ==</vt:lpwstr>
  </property>
  <property fmtid="{D5CDD505-2E9C-101B-9397-08002B2CF9AE}" pid="4" name="ICV">
    <vt:lpwstr>9B0C464299FE47008A20C6224D97C7E6_13</vt:lpwstr>
  </property>
</Properties>
</file>