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4C1354">
      <w:pPr>
        <w:jc w:val="center"/>
        <w:rPr>
          <w:rFonts w:hint="eastAsia" w:ascii="微软雅黑" w:hAnsi="微软雅黑" w:eastAsia="微软雅黑" w:cs="微软雅黑"/>
          <w:b/>
          <w:bCs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bCs/>
          <w:sz w:val="44"/>
          <w:szCs w:val="44"/>
        </w:rPr>
        <w:t>南京师范大学中北学院</w:t>
      </w:r>
      <w:r>
        <w:rPr>
          <w:rFonts w:hint="eastAsia" w:ascii="微软雅黑" w:hAnsi="微软雅黑" w:eastAsia="微软雅黑" w:cs="微软雅黑"/>
          <w:b/>
          <w:bCs/>
          <w:sz w:val="44"/>
          <w:szCs w:val="44"/>
          <w:lang w:val="en-US" w:eastAsia="zh-CN"/>
        </w:rPr>
        <w:t>美术学院文化墙</w:t>
      </w:r>
      <w:r>
        <w:rPr>
          <w:rFonts w:hint="eastAsia" w:ascii="微软雅黑" w:hAnsi="微软雅黑" w:eastAsia="微软雅黑" w:cs="微软雅黑"/>
          <w:b/>
          <w:bCs/>
          <w:sz w:val="44"/>
          <w:szCs w:val="44"/>
        </w:rPr>
        <w:t>项目采购文件</w:t>
      </w:r>
    </w:p>
    <w:p w14:paraId="0C8E218F">
      <w:pPr>
        <w:spacing w:after="120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一、项目概况</w:t>
      </w:r>
    </w:p>
    <w:p w14:paraId="43AA2C96">
      <w:pPr>
        <w:spacing w:after="0" w:line="6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1.项目名称：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  <w14:ligatures w14:val="standardContextual"/>
        </w:rPr>
        <w:t>南京师范大学中北学院美术学院文化墙项目</w:t>
      </w:r>
    </w:p>
    <w:p w14:paraId="727D54D3">
      <w:pPr>
        <w:spacing w:after="0" w:line="600" w:lineRule="exact"/>
        <w:ind w:firstLine="560" w:firstLineChars="20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2.项目地点：南京师范大学中北学院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博艺楼五楼</w:t>
      </w:r>
    </w:p>
    <w:p w14:paraId="4D2C16CA">
      <w:pPr>
        <w:spacing w:after="0" w:line="6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3.采购内容：包括但不限于本项目设计、材料采购、运输、安装、验收及质保期内的全部服务。具体内容详见第三条“项目需求”。</w:t>
      </w:r>
    </w:p>
    <w:p w14:paraId="2F733234">
      <w:pPr>
        <w:spacing w:after="0" w:line="6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4.预算金额：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830</w:t>
      </w:r>
      <w:r>
        <w:rPr>
          <w:rFonts w:hint="eastAsia" w:ascii="仿宋_GB2312" w:hAnsi="仿宋_GB2312" w:eastAsia="仿宋_GB2312" w:cs="仿宋_GB2312"/>
          <w:sz w:val="28"/>
          <w:szCs w:val="28"/>
        </w:rPr>
        <w:t>00元</w:t>
      </w:r>
    </w:p>
    <w:p w14:paraId="1DC4CD9A">
      <w:pPr>
        <w:spacing w:after="0" w:line="600" w:lineRule="exact"/>
        <w:ind w:firstLine="560" w:firstLineChars="20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5.项目工期：30天内完成</w:t>
      </w:r>
    </w:p>
    <w:p w14:paraId="7159C12A">
      <w:pPr>
        <w:spacing w:before="120" w:after="120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二、资质与安全要求</w:t>
      </w:r>
    </w:p>
    <w:p w14:paraId="1B546504">
      <w:pPr>
        <w:spacing w:after="0" w:line="6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1.具备独立法人资格及有效的营业执照，经营范围包含建筑工程施工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广告设计与制作，装修服务</w:t>
      </w:r>
      <w:r>
        <w:rPr>
          <w:rFonts w:hint="eastAsia" w:ascii="仿宋_GB2312" w:hAnsi="仿宋_GB2312" w:eastAsia="仿宋_GB2312" w:cs="仿宋_GB2312"/>
          <w:sz w:val="28"/>
          <w:szCs w:val="28"/>
        </w:rPr>
        <w:t>内容。</w:t>
      </w:r>
    </w:p>
    <w:p w14:paraId="21AC23EC">
      <w:pPr>
        <w:spacing w:after="0" w:line="6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</w:rPr>
        <w:t>.施工单位为施工现场安全的唯一责任主体，对一切安全事故承担全部法律责任和经济损失。</w:t>
      </w:r>
    </w:p>
    <w:p w14:paraId="63EAD792">
      <w:pPr>
        <w:spacing w:before="120" w:after="120"/>
        <w:rPr>
          <w:rFonts w:hint="eastAsia" w:ascii="黑体" w:hAnsi="黑体" w:eastAsia="黑体" w:cs="黑体"/>
          <w:b/>
          <w:bCs/>
          <w:sz w:val="28"/>
          <w:szCs w:val="28"/>
        </w:rPr>
      </w:pPr>
      <w:bookmarkStart w:id="0" w:name="OLE_LINK4"/>
      <w:r>
        <w:rPr>
          <w:rFonts w:hint="eastAsia" w:ascii="黑体" w:hAnsi="黑体" w:eastAsia="黑体" w:cs="黑体"/>
          <w:b/>
          <w:bCs/>
          <w:sz w:val="28"/>
          <w:szCs w:val="28"/>
        </w:rPr>
        <w:t>三、项目需求</w:t>
      </w:r>
    </w:p>
    <w:bookmarkEnd w:id="0"/>
    <w:p w14:paraId="435CD6C7">
      <w:pPr>
        <w:spacing w:after="0" w:line="24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1.采购内容及要求</w:t>
      </w:r>
    </w:p>
    <w:p w14:paraId="4048EDFB">
      <w:pPr>
        <w:spacing w:after="0" w:line="240" w:lineRule="auto"/>
        <w:ind w:firstLine="560" w:firstLineChars="200"/>
        <w:rPr>
          <w:rFonts w:hint="default" w:ascii="仿宋_GB2312" w:hAnsi="仿宋_GB2312" w:eastAsia="仿宋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总设计长度为25米，须</w:t>
      </w:r>
      <w:r>
        <w:rPr>
          <w:rFonts w:hint="eastAsia" w:ascii="仿宋" w:hAnsi="仿宋" w:eastAsia="仿宋" w:cs="仿宋"/>
          <w:sz w:val="28"/>
          <w:szCs w:val="28"/>
        </w:rPr>
        <w:t>提供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采购</w:t>
      </w:r>
      <w:r>
        <w:rPr>
          <w:rFonts w:hint="eastAsia" w:ascii="仿宋" w:hAnsi="仿宋" w:eastAsia="仿宋" w:cs="仿宋"/>
          <w:sz w:val="28"/>
          <w:szCs w:val="28"/>
        </w:rPr>
        <w:t>要求的长宽高的效果图（彩色）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该项目须</w:t>
      </w:r>
      <w:r>
        <w:rPr>
          <w:rFonts w:hint="eastAsia" w:ascii="仿宋" w:hAnsi="仿宋" w:eastAsia="仿宋" w:cs="仿宋"/>
          <w:sz w:val="28"/>
          <w:szCs w:val="28"/>
        </w:rPr>
        <w:t>现场勘查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勘察联系人：钱老师，</w:t>
      </w:r>
      <w:r>
        <w:rPr>
          <w:rFonts w:hint="eastAsia" w:ascii="仿宋" w:hAnsi="仿宋" w:eastAsia="仿宋" w:cs="仿宋"/>
          <w:sz w:val="28"/>
          <w:szCs w:val="28"/>
        </w:rPr>
        <w:t>18851271668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勘察时间2026年4月13日下午2：30-3：30</w:t>
      </w:r>
    </w:p>
    <w:tbl>
      <w:tblPr>
        <w:tblStyle w:val="18"/>
        <w:tblW w:w="85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1050"/>
        <w:gridCol w:w="3482"/>
        <w:gridCol w:w="3482"/>
      </w:tblGrid>
      <w:tr w14:paraId="16FEA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07" w:type="dxa"/>
            <w:vAlign w:val="center"/>
          </w:tcPr>
          <w:p w14:paraId="5BA868DB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方正小标宋简体" w:hAnsi="方正小标宋简体" w:eastAsia="方正小标宋简体"/>
                <w:b/>
              </w:rPr>
            </w:pPr>
            <w:r>
              <w:rPr>
                <w:rFonts w:hint="eastAsia" w:ascii="方正小标宋简体" w:hAnsi="方正小标宋简体" w:eastAsia="方正小标宋简体"/>
                <w:b/>
              </w:rPr>
              <w:t>序号</w:t>
            </w:r>
          </w:p>
        </w:tc>
        <w:tc>
          <w:tcPr>
            <w:tcW w:w="1050" w:type="dxa"/>
            <w:vAlign w:val="center"/>
          </w:tcPr>
          <w:p w14:paraId="66CB8E38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方正小标宋简体" w:hAnsi="方正小标宋简体" w:eastAsia="方正小标宋简体"/>
                <w:b/>
              </w:rPr>
            </w:pPr>
            <w:r>
              <w:rPr>
                <w:rFonts w:hint="eastAsia" w:ascii="方正小标宋简体" w:hAnsi="方正小标宋简体" w:eastAsia="方正小标宋简体"/>
                <w:b/>
              </w:rPr>
              <w:t>项目名称</w:t>
            </w:r>
          </w:p>
        </w:tc>
        <w:tc>
          <w:tcPr>
            <w:tcW w:w="3482" w:type="dxa"/>
            <w:vAlign w:val="center"/>
          </w:tcPr>
          <w:p w14:paraId="2A1BF36E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方正小标宋简体" w:hAnsi="方正小标宋简体" w:eastAsia="方正小标宋简体"/>
                <w:b/>
              </w:rPr>
            </w:pPr>
            <w:r>
              <w:rPr>
                <w:rFonts w:hint="eastAsia" w:ascii="方正小标宋简体" w:hAnsi="方正小标宋简体" w:eastAsia="方正小标宋简体"/>
                <w:b/>
              </w:rPr>
              <w:t>要求</w:t>
            </w:r>
          </w:p>
        </w:tc>
        <w:tc>
          <w:tcPr>
            <w:tcW w:w="3482" w:type="dxa"/>
            <w:vAlign w:val="center"/>
          </w:tcPr>
          <w:p w14:paraId="1D2B0BE4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方正小标宋简体" w:hAnsi="方正小标宋简体" w:eastAsia="方正小标宋简体"/>
                <w:b/>
              </w:rPr>
            </w:pPr>
            <w:r>
              <w:rPr>
                <w:rFonts w:hint="eastAsia" w:ascii="方正小标宋简体" w:hAnsi="方正小标宋简体" w:eastAsia="方正小标宋简体"/>
                <w:b/>
              </w:rPr>
              <w:t>产品数量和规格</w:t>
            </w:r>
          </w:p>
        </w:tc>
      </w:tr>
      <w:tr w14:paraId="358B1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7" w:hRule="atLeast"/>
          <w:jc w:val="center"/>
        </w:trPr>
        <w:tc>
          <w:tcPr>
            <w:tcW w:w="507" w:type="dxa"/>
            <w:vAlign w:val="center"/>
          </w:tcPr>
          <w:p w14:paraId="4C18552F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</w:t>
            </w:r>
          </w:p>
        </w:tc>
        <w:tc>
          <w:tcPr>
            <w:tcW w:w="1050" w:type="dxa"/>
            <w:vAlign w:val="center"/>
          </w:tcPr>
          <w:p w14:paraId="04CA42F2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党建主题模块</w:t>
            </w:r>
          </w:p>
        </w:tc>
        <w:tc>
          <w:tcPr>
            <w:tcW w:w="3482" w:type="dxa"/>
            <w:vAlign w:val="top"/>
          </w:tcPr>
          <w:p w14:paraId="55EBCC63">
            <w:pPr>
              <w:keepNext/>
              <w:numPr>
                <w:ilvl w:val="0"/>
                <w:numId w:val="1"/>
              </w:num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长7-8米，高2.5米，厚度不超过50cm（具体按照设计方案而定），非平面，立体造型。</w:t>
            </w:r>
          </w:p>
          <w:p w14:paraId="44500419">
            <w:pPr>
              <w:keepNext/>
              <w:numPr>
                <w:ilvl w:val="0"/>
                <w:numId w:val="1"/>
              </w:num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结合“入党誓词”与党徽，通过文化符号强化党性主题。整体设计简洁大气，并且结合美院党建特色，与周边环境形成视觉焦点。既符合文化墙主题氛围，又形成视觉上的统一性。</w:t>
            </w:r>
          </w:p>
          <w:p w14:paraId="1228F13F">
            <w:pPr>
              <w:pStyle w:val="11"/>
              <w:keepNext/>
              <w:numPr>
                <w:ilvl w:val="0"/>
                <w:numId w:val="1"/>
              </w:numPr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最终颜色以甲方确认的色卡为准；</w:t>
            </w:r>
          </w:p>
          <w:p w14:paraId="47BBC332">
            <w:pPr>
              <w:keepNext/>
              <w:numPr>
                <w:ilvl w:val="0"/>
                <w:numId w:val="1"/>
              </w:num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所用文字均为立体字与发光字（具体按实际效果为准）</w:t>
            </w:r>
          </w:p>
          <w:p w14:paraId="1D724395">
            <w:pPr>
              <w:keepNext/>
              <w:numPr>
                <w:ilvl w:val="0"/>
                <w:numId w:val="1"/>
              </w:num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墙面覆盖率100%</w:t>
            </w:r>
          </w:p>
        </w:tc>
        <w:tc>
          <w:tcPr>
            <w:tcW w:w="3482" w:type="dxa"/>
            <w:vAlign w:val="center"/>
          </w:tcPr>
          <w:p w14:paraId="6701C4C0">
            <w:pPr>
              <w:keepNext/>
              <w:numPr>
                <w:ilvl w:val="0"/>
                <w:numId w:val="2"/>
              </w:numPr>
              <w:snapToGrid w:val="0"/>
              <w:spacing w:line="240" w:lineRule="auto"/>
              <w:ind w:left="425" w:leftChars="0" w:right="0" w:rightChars="0" w:hanging="425" w:firstLineChars="0"/>
              <w:jc w:val="left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内容：包括设计元素、主题、誓词内容</w:t>
            </w:r>
          </w:p>
          <w:p w14:paraId="6AF117D8">
            <w:pPr>
              <w:keepNext/>
              <w:numPr>
                <w:ilvl w:val="0"/>
                <w:numId w:val="2"/>
              </w:numPr>
              <w:snapToGrid w:val="0"/>
              <w:spacing w:line="240" w:lineRule="auto"/>
              <w:ind w:left="425" w:leftChars="0" w:right="0" w:rightChars="0" w:hanging="425" w:firstLineChars="0"/>
              <w:jc w:val="left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规格：该方案的规格为长度约为7-8米，高度2.5米，厚度不超过50cm（具体按照设计方案而定）；底板采用2公分PVC板UV画面。</w:t>
            </w:r>
          </w:p>
          <w:p w14:paraId="1BED989D">
            <w:pPr>
              <w:keepNext/>
              <w:numPr>
                <w:ilvl w:val="0"/>
                <w:numId w:val="2"/>
              </w:numPr>
              <w:snapToGrid w:val="0"/>
              <w:spacing w:line="240" w:lineRule="auto"/>
              <w:ind w:left="425" w:leftChars="0" w:right="0" w:rightChars="0" w:hanging="425" w:firstLineChars="0"/>
              <w:jc w:val="left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入党誓词区采用：50mm航空阻燃板UV画面+钢化贴+封边；</w:t>
            </w:r>
          </w:p>
          <w:p w14:paraId="491848E6">
            <w:pPr>
              <w:keepNext/>
              <w:numPr>
                <w:ilvl w:val="0"/>
                <w:numId w:val="2"/>
              </w:numPr>
              <w:snapToGrid w:val="0"/>
              <w:spacing w:line="240" w:lineRule="auto"/>
              <w:ind w:left="425" w:leftChars="0" w:right="0" w:rightChars="0" w:hanging="425" w:firstLineChars="0"/>
              <w:jc w:val="left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主题文字及党徽采用：发光字；</w:t>
            </w:r>
          </w:p>
          <w:p w14:paraId="12912F6E">
            <w:pPr>
              <w:keepNext/>
              <w:numPr>
                <w:ilvl w:val="0"/>
                <w:numId w:val="2"/>
              </w:numPr>
              <w:snapToGrid w:val="0"/>
              <w:spacing w:line="240" w:lineRule="auto"/>
              <w:ind w:left="425" w:leftChars="0" w:right="0" w:rightChars="0" w:hanging="425" w:firstLineChars="0"/>
              <w:jc w:val="left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誓词内容采用：焗漆水晶工艺。</w:t>
            </w:r>
          </w:p>
          <w:p w14:paraId="22A5E7A3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211BC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2" w:hRule="atLeast"/>
          <w:jc w:val="center"/>
        </w:trPr>
        <w:tc>
          <w:tcPr>
            <w:tcW w:w="507" w:type="dxa"/>
            <w:vAlign w:val="center"/>
          </w:tcPr>
          <w:p w14:paraId="5BE16F08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</w:t>
            </w:r>
          </w:p>
        </w:tc>
        <w:tc>
          <w:tcPr>
            <w:tcW w:w="1050" w:type="dxa"/>
            <w:vAlign w:val="center"/>
          </w:tcPr>
          <w:p w14:paraId="6D0125E3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党总支主题模块</w:t>
            </w:r>
          </w:p>
        </w:tc>
        <w:tc>
          <w:tcPr>
            <w:tcW w:w="3482" w:type="dxa"/>
            <w:vAlign w:val="top"/>
          </w:tcPr>
          <w:p w14:paraId="0FDC5126">
            <w:pPr>
              <w:keepNext/>
              <w:numPr>
                <w:ilvl w:val="0"/>
                <w:numId w:val="3"/>
              </w:num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长4-5米，高2.5米，厚度不超过50cm（具体按照设计方案而定），非平面，立体造型</w:t>
            </w:r>
          </w:p>
          <w:p w14:paraId="7FCC3BE9">
            <w:pPr>
              <w:keepNext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2采用模块化展示结构，清晰地呈现了美院党建信息。其次通过色彩与材质的对比突出内容层次。设计兼顾展示功能与空间美学，增强了空间的节奏感与趣味性，实现功能和形式的统一。</w:t>
            </w:r>
          </w:p>
          <w:p w14:paraId="1FFAF361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3</w:t>
            </w:r>
            <w:r>
              <w:rPr>
                <w:rFonts w:hint="eastAsia" w:ascii="黑体" w:hAnsi="黑体" w:eastAsia="黑体" w:cs="黑体"/>
                <w:sz w:val="24"/>
              </w:rPr>
              <w:t>.最终颜色以甲方确认的色卡为准；</w:t>
            </w:r>
          </w:p>
          <w:p w14:paraId="567BA137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4</w:t>
            </w:r>
            <w:r>
              <w:rPr>
                <w:rFonts w:hint="eastAsia" w:ascii="黑体" w:hAnsi="黑体" w:eastAsia="黑体" w:cs="黑体"/>
                <w:sz w:val="24"/>
              </w:rPr>
              <w:t>.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所用文字均为立体字与发光字（具体按实际效果为准）</w:t>
            </w:r>
          </w:p>
          <w:p w14:paraId="1A5E008D">
            <w:pPr>
              <w:keepNext/>
              <w:numPr>
                <w:ilvl w:val="0"/>
                <w:numId w:val="0"/>
              </w:numPr>
              <w:snapToGrid w:val="0"/>
              <w:spacing w:line="240" w:lineRule="auto"/>
              <w:jc w:val="both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5.墙面覆盖率100%</w:t>
            </w:r>
          </w:p>
        </w:tc>
        <w:tc>
          <w:tcPr>
            <w:tcW w:w="3482" w:type="dxa"/>
            <w:vAlign w:val="top"/>
          </w:tcPr>
          <w:p w14:paraId="5F972F7F">
            <w:pPr>
              <w:keepNext/>
              <w:numPr>
                <w:ilvl w:val="0"/>
                <w:numId w:val="4"/>
              </w:numPr>
              <w:snapToGrid w:val="0"/>
              <w:spacing w:line="240" w:lineRule="auto"/>
              <w:ind w:left="425" w:leftChars="0" w:right="0" w:rightChars="0" w:hanging="425" w:firstLineChars="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内容：包括设计元素、主题</w:t>
            </w:r>
          </w:p>
          <w:p w14:paraId="25A893D5">
            <w:pPr>
              <w:keepNext/>
              <w:numPr>
                <w:ilvl w:val="0"/>
                <w:numId w:val="4"/>
              </w:numPr>
              <w:snapToGrid w:val="0"/>
              <w:spacing w:line="240" w:lineRule="auto"/>
              <w:ind w:left="425" w:leftChars="0" w:right="0" w:rightChars="0" w:hanging="425" w:firstLineChars="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规格：该方案的规格为长度约为4-5米，高度2.5米，厚度不超过50cm（具体按照设计方案而定）；底板采用2公分PVC板UV画面，顶部暗藏发光灯带。</w:t>
            </w:r>
          </w:p>
          <w:p w14:paraId="691091ED">
            <w:pPr>
              <w:keepNext/>
              <w:numPr>
                <w:ilvl w:val="0"/>
                <w:numId w:val="4"/>
              </w:numPr>
              <w:snapToGrid w:val="0"/>
              <w:spacing w:line="240" w:lineRule="auto"/>
              <w:ind w:left="425" w:leftChars="0" w:right="0" w:rightChars="0" w:hanging="425" w:firstLineChars="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该墙的主题文字区采用：PVC底板+铁板喷塑+磁吸可更换画面（铝合金极窄封边）及迷你发光字；</w:t>
            </w:r>
          </w:p>
          <w:p w14:paraId="2D0C1628">
            <w:pPr>
              <w:keepNext/>
              <w:numPr>
                <w:ilvl w:val="0"/>
                <w:numId w:val="4"/>
              </w:numPr>
              <w:snapToGrid w:val="0"/>
              <w:spacing w:line="240" w:lineRule="auto"/>
              <w:ind w:left="425" w:leftChars="0" w:right="0" w:rightChars="0" w:hanging="425" w:firstLineChars="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其他文字部分采用：PVC+磁吸可更换画面（铝合金极窄封边）及焗漆水晶。</w:t>
            </w:r>
          </w:p>
          <w:p w14:paraId="31835A8C">
            <w:pPr>
              <w:keepNext/>
              <w:numPr>
                <w:ilvl w:val="0"/>
                <w:numId w:val="0"/>
              </w:numPr>
              <w:snapToGrid w:val="0"/>
              <w:spacing w:line="240" w:lineRule="auto"/>
              <w:jc w:val="both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</w:p>
        </w:tc>
      </w:tr>
      <w:tr w14:paraId="73812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6" w:hRule="atLeast"/>
          <w:jc w:val="center"/>
        </w:trPr>
        <w:tc>
          <w:tcPr>
            <w:tcW w:w="507" w:type="dxa"/>
            <w:vAlign w:val="center"/>
          </w:tcPr>
          <w:p w14:paraId="19EDE4AD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</w:t>
            </w:r>
          </w:p>
        </w:tc>
        <w:tc>
          <w:tcPr>
            <w:tcW w:w="1050" w:type="dxa"/>
            <w:vAlign w:val="center"/>
          </w:tcPr>
          <w:p w14:paraId="4C67EC8C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共青团主题模块</w:t>
            </w:r>
          </w:p>
        </w:tc>
        <w:tc>
          <w:tcPr>
            <w:tcW w:w="3482" w:type="dxa"/>
            <w:vAlign w:val="top"/>
          </w:tcPr>
          <w:p w14:paraId="4A0B0EAD">
            <w:pPr>
              <w:pStyle w:val="11"/>
              <w:keepNext/>
              <w:numPr>
                <w:ilvl w:val="0"/>
                <w:numId w:val="5"/>
              </w:numPr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长7-8米，高2.5米，厚度不超过50cm（具体按照设计方案而定），非平面，立体造型。</w:t>
            </w:r>
          </w:p>
          <w:p w14:paraId="7DA6456D">
            <w:pPr>
              <w:keepNext/>
              <w:numPr>
                <w:ilvl w:val="0"/>
                <w:numId w:val="5"/>
              </w:num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通过不同分区布局展示“组织功能说明” 与 “历史发展展示” 双重属性，信息传递清晰且富有层次。</w:t>
            </w:r>
          </w:p>
          <w:p w14:paraId="45F6E48B">
            <w:pPr>
              <w:keepNext/>
              <w:numPr>
                <w:ilvl w:val="0"/>
                <w:numId w:val="5"/>
              </w:num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最终颜色以甲方确认的色卡为准</w:t>
            </w:r>
          </w:p>
          <w:p w14:paraId="126EA673">
            <w:pPr>
              <w:keepNext/>
              <w:numPr>
                <w:ilvl w:val="0"/>
                <w:numId w:val="5"/>
              </w:num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所用文字均为立体字与发光字（具体按实际效果为准）</w:t>
            </w:r>
          </w:p>
          <w:p w14:paraId="3860E3C0">
            <w:pPr>
              <w:keepNext/>
              <w:numPr>
                <w:ilvl w:val="0"/>
                <w:numId w:val="5"/>
              </w:num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墙面覆盖率100%</w:t>
            </w:r>
          </w:p>
        </w:tc>
        <w:tc>
          <w:tcPr>
            <w:tcW w:w="3482" w:type="dxa"/>
            <w:vAlign w:val="center"/>
          </w:tcPr>
          <w:p w14:paraId="591BC14D">
            <w:pPr>
              <w:widowControl/>
              <w:numPr>
                <w:ilvl w:val="0"/>
                <w:numId w:val="6"/>
              </w:numPr>
              <w:ind w:left="425" w:leftChars="0" w:hanging="425" w:firstLineChars="0"/>
              <w:jc w:val="lef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内容：包括设计元素、主题、文字内容</w:t>
            </w:r>
          </w:p>
          <w:p w14:paraId="2736E0B8">
            <w:pPr>
              <w:widowControl/>
              <w:numPr>
                <w:ilvl w:val="0"/>
                <w:numId w:val="6"/>
              </w:numPr>
              <w:ind w:left="425" w:leftChars="0" w:hanging="425" w:firstLineChars="0"/>
              <w:jc w:val="lef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规格：该方案的规格为长度约为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7-8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米，高度2.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米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厚度不超过50cm（具体按照设计方案而定）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；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底板采用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2公分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PVC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板UV画面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顶部暗藏发光灯带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。</w:t>
            </w:r>
          </w:p>
          <w:p w14:paraId="26E8FD9C">
            <w:pPr>
              <w:widowControl/>
              <w:numPr>
                <w:ilvl w:val="0"/>
                <w:numId w:val="6"/>
              </w:numPr>
              <w:ind w:left="425" w:leftChars="0" w:hanging="425" w:firstLineChars="0"/>
              <w:jc w:val="lef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该墙的主题文字区采用：20mm航空阻燃板UV画面+钢化贴+封边及迷你发光字；</w:t>
            </w:r>
          </w:p>
          <w:p w14:paraId="018F1CC3">
            <w:pPr>
              <w:widowControl/>
              <w:numPr>
                <w:ilvl w:val="0"/>
                <w:numId w:val="6"/>
              </w:numPr>
              <w:ind w:left="425" w:leftChars="0" w:hanging="425" w:firstLineChars="0"/>
              <w:jc w:val="lef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其他文字部分采用：PVC+磁吸可更换画面（铝合金极窄封边）、2公分雪弗板UV画面及焗漆水晶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/>
              </w:rPr>
              <w:t>。</w:t>
            </w:r>
          </w:p>
          <w:p w14:paraId="67E223C9">
            <w:pPr>
              <w:widowControl/>
              <w:numPr>
                <w:ilvl w:val="0"/>
                <w:numId w:val="6"/>
              </w:numPr>
              <w:ind w:left="425" w:leftChars="0" w:hanging="425" w:firstLineChars="0"/>
              <w:jc w:val="lef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时间轴区域底板采用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2公分PVC异形雕刻（铝合金极窄封边）</w:t>
            </w:r>
          </w:p>
          <w:p w14:paraId="62610CC9">
            <w:pPr>
              <w:widowControl/>
              <w:numPr>
                <w:ilvl w:val="0"/>
                <w:numId w:val="6"/>
              </w:numPr>
              <w:ind w:left="425" w:leftChars="0" w:hanging="425" w:firstLineChars="0"/>
              <w:jc w:val="lef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该墙的主题文字区采用：迷你发光字；其他文字部分采用：迷你发光字及焗漆水晶；时间轴结构采用:PVC+磁吸可更换画面（铝合金极窄封边）及焗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漆水晶（3平方米）.</w:t>
            </w:r>
          </w:p>
          <w:p w14:paraId="50865FB0">
            <w:pPr>
              <w:keepNext/>
              <w:numPr>
                <w:ilvl w:val="0"/>
                <w:numId w:val="0"/>
              </w:numPr>
              <w:snapToGrid w:val="0"/>
              <w:spacing w:line="240" w:lineRule="auto"/>
              <w:ind w:leftChars="0" w:right="0" w:rightChars="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1B6CF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7" w:type="dxa"/>
            <w:vAlign w:val="center"/>
          </w:tcPr>
          <w:p w14:paraId="284C7782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  <w:p w14:paraId="284FEAC9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  <w:p w14:paraId="480E5367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  <w:p w14:paraId="229AFF46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  <w:p w14:paraId="16378968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  <w:p w14:paraId="6EEE6383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  <w:p w14:paraId="252C3C61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  <w:p w14:paraId="44F8F4DD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  <w:p w14:paraId="7D187865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  <w:p w14:paraId="6BA045A8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4</w:t>
            </w:r>
          </w:p>
        </w:tc>
        <w:tc>
          <w:tcPr>
            <w:tcW w:w="1050" w:type="dxa"/>
            <w:vAlign w:val="center"/>
          </w:tcPr>
          <w:p w14:paraId="0B4C4FF3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</w:p>
          <w:p w14:paraId="36BDC59C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</w:p>
          <w:p w14:paraId="5AB39FDB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</w:p>
          <w:p w14:paraId="7C838A3A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</w:p>
          <w:p w14:paraId="4D2F40B1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心理健康与美育主题</w:t>
            </w:r>
          </w:p>
        </w:tc>
        <w:tc>
          <w:tcPr>
            <w:tcW w:w="3482" w:type="dxa"/>
            <w:vAlign w:val="center"/>
          </w:tcPr>
          <w:p w14:paraId="4C4AA6D4">
            <w:pPr>
              <w:keepNext/>
              <w:numPr>
                <w:ilvl w:val="0"/>
                <w:numId w:val="7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长5-8米，高2.5米，厚度不超过50cm（具体按照设计方案而定）</w:t>
            </w:r>
          </w:p>
          <w:p w14:paraId="00F8CFC7">
            <w:pPr>
              <w:keepNext/>
              <w:numPr>
                <w:ilvl w:val="0"/>
                <w:numId w:val="7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以 “心理健康 + 艺术美育” 为双核心，打破传统心理宣传的刻板模式，结合美术与设计专业特色，构建 “温暖包容、互动参与、专业赋能” 的沉浸式文化空间，既承担心理教育引导功能，又彰显学院专业底蕴，实现 “以美润心、以心育美” 的双重价值。</w:t>
            </w:r>
          </w:p>
          <w:p w14:paraId="41879A81">
            <w:pPr>
              <w:keepNext/>
              <w:numPr>
                <w:ilvl w:val="0"/>
                <w:numId w:val="7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最终颜色以甲方确认的色卡为准；</w:t>
            </w:r>
          </w:p>
          <w:p w14:paraId="1A03C8EC">
            <w:pPr>
              <w:keepNext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4.所用文字均为立体字与发光字</w:t>
            </w:r>
          </w:p>
          <w:p w14:paraId="029215E0">
            <w:pPr>
              <w:keepNext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5.墙面覆盖率100%</w:t>
            </w:r>
          </w:p>
          <w:p w14:paraId="470DA2E5">
            <w:pPr>
              <w:pStyle w:val="11"/>
              <w:keepNext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482" w:type="dxa"/>
            <w:vAlign w:val="center"/>
          </w:tcPr>
          <w:p w14:paraId="6779A983">
            <w:pPr>
              <w:widowControl/>
              <w:numPr>
                <w:ilvl w:val="0"/>
                <w:numId w:val="8"/>
              </w:numPr>
              <w:ind w:left="425" w:leftChars="0" w:hanging="425" w:firstLineChars="0"/>
              <w:jc w:val="lef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内容：包括设计元素、主题、文字内容</w:t>
            </w:r>
          </w:p>
          <w:p w14:paraId="02613121">
            <w:pPr>
              <w:widowControl/>
              <w:numPr>
                <w:ilvl w:val="0"/>
                <w:numId w:val="8"/>
              </w:numPr>
              <w:ind w:left="425" w:leftChars="0" w:hanging="425" w:firstLineChars="0"/>
              <w:jc w:val="lef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规格：该方案的规格为长度约为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5-8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米，高度2.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米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厚度不超过50cm（具体按照设计方案而定）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；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底板采用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2公分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PVC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板UV画面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顶部暗藏发光灯带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。</w:t>
            </w:r>
          </w:p>
          <w:p w14:paraId="3903EAD7">
            <w:pPr>
              <w:widowControl/>
              <w:numPr>
                <w:ilvl w:val="0"/>
                <w:numId w:val="8"/>
              </w:numPr>
              <w:ind w:left="425" w:leftChars="0" w:hanging="425" w:firstLineChars="0"/>
              <w:jc w:val="lef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该墙采用2公分PVC异形雕刻（铝合金极窄封边）线条雕刻+焗漆水晶；亚克力卡槽；实木柜体定制+独特创意展示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/>
              </w:rPr>
              <w:t>；</w:t>
            </w:r>
          </w:p>
          <w:p w14:paraId="6AE6F68C">
            <w:pPr>
              <w:pStyle w:val="11"/>
              <w:keepNext/>
              <w:numPr>
                <w:ilvl w:val="0"/>
                <w:numId w:val="8"/>
              </w:numPr>
              <w:snapToGrid w:val="0"/>
              <w:spacing w:after="0" w:line="240" w:lineRule="auto"/>
              <w:ind w:left="425" w:leftChars="0" w:right="0" w:rightChars="0" w:hanging="425" w:firstLineChars="0"/>
              <w:jc w:val="lef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其他文字内容采用：</w:t>
            </w: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4"/>
                <w:szCs w:val="24"/>
              </w:rPr>
              <w:t>焗漆水晶</w:t>
            </w: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4"/>
                <w:szCs w:val="24"/>
                <w:lang w:eastAsia="zh-CN"/>
              </w:rPr>
              <w:t>。</w:t>
            </w:r>
          </w:p>
        </w:tc>
      </w:tr>
    </w:tbl>
    <w:p w14:paraId="79FB02B5">
      <w:pPr>
        <w:numPr>
          <w:ilvl w:val="0"/>
          <w:numId w:val="9"/>
        </w:numPr>
        <w:spacing w:after="0" w:line="24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施工方案</w:t>
      </w:r>
    </w:p>
    <w:p w14:paraId="7FE23549">
      <w:pPr>
        <w:spacing w:after="0"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提供施工图纸及详细方案（含墙面处理、制作工艺、工期计划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28"/>
          <w:szCs w:val="28"/>
        </w:rPr>
        <w:t>）；</w:t>
      </w:r>
    </w:p>
    <w:p w14:paraId="24232702">
      <w:pPr>
        <w:spacing w:after="0"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施工前所有材料需甲方验收合格后方可施工；</w:t>
      </w:r>
    </w:p>
    <w:p w14:paraId="739C4A5F">
      <w:pPr>
        <w:spacing w:after="0"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墙面改造需结合建筑结构、使用功能及美观性要求；</w:t>
      </w:r>
    </w:p>
    <w:p w14:paraId="4DDE05C3">
      <w:pPr>
        <w:spacing w:after="0"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施工过程中应仔细检验，确保安装误差不超过2cm;</w:t>
      </w:r>
    </w:p>
    <w:p w14:paraId="598FEF5E">
      <w:pPr>
        <w:spacing w:after="0"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施工时应以最严格的标准，保证图案和色彩的完整性和一致性;</w:t>
      </w:r>
    </w:p>
    <w:p w14:paraId="01DEC7B6">
      <w:pPr>
        <w:spacing w:after="0"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施工完成后，必须认真检查每一个细节，确保最终效果符合预期。</w:t>
      </w:r>
    </w:p>
    <w:p w14:paraId="5AA04D6F">
      <w:pPr>
        <w:spacing w:after="120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四、评分指标</w:t>
      </w:r>
      <w:bookmarkStart w:id="1" w:name="_GoBack"/>
      <w:bookmarkEnd w:id="1"/>
    </w:p>
    <w:tbl>
      <w:tblPr>
        <w:tblStyle w:val="17"/>
        <w:tblW w:w="8640" w:type="dxa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2"/>
        <w:gridCol w:w="6598"/>
        <w:gridCol w:w="810"/>
      </w:tblGrid>
      <w:tr w14:paraId="0459B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C77DA2">
            <w:pPr>
              <w:spacing w:line="560" w:lineRule="exact"/>
              <w:ind w:left="-13" w:leftChars="-6"/>
              <w:jc w:val="center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评分指标</w:t>
            </w:r>
          </w:p>
        </w:tc>
        <w:tc>
          <w:tcPr>
            <w:tcW w:w="6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2B8652">
            <w:pPr>
              <w:spacing w:line="560" w:lineRule="exact"/>
              <w:ind w:left="-13" w:leftChars="-6"/>
              <w:jc w:val="center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评分细则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CC2CC">
            <w:pPr>
              <w:spacing w:line="560" w:lineRule="exact"/>
              <w:ind w:left="-13" w:leftChars="-6"/>
              <w:jc w:val="center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分值</w:t>
            </w:r>
          </w:p>
        </w:tc>
      </w:tr>
      <w:tr w14:paraId="6CEAB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</w:trPr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121AF0">
            <w:pPr>
              <w:spacing w:line="560" w:lineRule="exact"/>
              <w:ind w:left="-13" w:leftChars="-6"/>
              <w:jc w:val="center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价格</w:t>
            </w:r>
          </w:p>
        </w:tc>
        <w:tc>
          <w:tcPr>
            <w:tcW w:w="6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A02A98">
            <w:pPr>
              <w:spacing w:after="0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满足采购文件要求且最低报价为基准价，其价格分为50分。供应商的价格分统一按照下列公式计算：报价得分=(基准价／报价)×50。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8EC364">
            <w:pPr>
              <w:spacing w:line="560" w:lineRule="exact"/>
              <w:ind w:left="-13" w:leftChars="-6"/>
              <w:jc w:val="center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50</w:t>
            </w:r>
          </w:p>
        </w:tc>
      </w:tr>
      <w:tr w14:paraId="43FA26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9" w:hRule="atLeast"/>
        </w:trPr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2EEB5">
            <w:pPr>
              <w:spacing w:line="560" w:lineRule="exact"/>
              <w:ind w:left="-13" w:leftChars="-6"/>
              <w:jc w:val="center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设计方案</w:t>
            </w:r>
          </w:p>
        </w:tc>
        <w:tc>
          <w:tcPr>
            <w:tcW w:w="6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DC56B8">
            <w:pPr>
              <w:spacing w:after="0"/>
              <w:rPr>
                <w:rFonts w:hint="default" w:ascii="仿宋_GB2312" w:eastAsia="仿宋_GB2312" w:hAnsiTheme="minorEastAsia" w:cstheme="minorEastAsia"/>
                <w:sz w:val="24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横向比较，根据设计方案酌情打分，优</w:t>
            </w:r>
            <w:r>
              <w:rPr>
                <w:rFonts w:hint="eastAsia" w:ascii="仿宋_GB2312" w:eastAsia="仿宋_GB2312" w:hAnsiTheme="minorEastAsia" w:cstheme="minorEastAsia"/>
                <w:sz w:val="24"/>
                <w:lang w:val="en-US" w:eastAsia="zh-CN"/>
              </w:rPr>
              <w:t>31</w:t>
            </w:r>
            <w:r>
              <w:rPr>
                <w:rFonts w:hint="eastAsia" w:ascii="仿宋_GB2312" w:eastAsia="仿宋_GB2312" w:hAnsiTheme="minorEastAsia" w:cstheme="minorEastAsia"/>
                <w:sz w:val="24"/>
              </w:rPr>
              <w:t>-40分，良</w:t>
            </w:r>
            <w:r>
              <w:rPr>
                <w:rFonts w:hint="eastAsia" w:ascii="仿宋_GB2312" w:eastAsia="仿宋_GB2312" w:hAnsiTheme="minorEastAsia" w:cstheme="minorEastAsia"/>
                <w:sz w:val="24"/>
                <w:lang w:val="en-US" w:eastAsia="zh-CN"/>
              </w:rPr>
              <w:t>21</w:t>
            </w:r>
            <w:r>
              <w:rPr>
                <w:rFonts w:hint="eastAsia" w:ascii="仿宋_GB2312" w:eastAsia="仿宋_GB2312" w:hAnsiTheme="minorEastAsia" w:cstheme="minorEastAsia"/>
                <w:sz w:val="24"/>
              </w:rPr>
              <w:t>-</w:t>
            </w:r>
            <w:r>
              <w:rPr>
                <w:rFonts w:hint="eastAsia" w:ascii="仿宋_GB2312" w:eastAsia="仿宋_GB2312" w:hAnsiTheme="minorEastAsia" w:cstheme="minorEastAsia"/>
                <w:sz w:val="24"/>
                <w:lang w:val="en-US" w:eastAsia="zh-CN"/>
              </w:rPr>
              <w:t>30</w:t>
            </w:r>
          </w:p>
          <w:p w14:paraId="06F796D5">
            <w:pPr>
              <w:spacing w:after="0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分，</w:t>
            </w:r>
            <w:r>
              <w:rPr>
                <w:rFonts w:hint="eastAsia" w:ascii="仿宋_GB2312" w:eastAsia="仿宋_GB2312" w:hAnsiTheme="minorEastAsia" w:cstheme="minorEastAsia"/>
                <w:sz w:val="24"/>
                <w:lang w:val="en-US" w:eastAsia="zh-CN"/>
              </w:rPr>
              <w:t>中11-20，</w:t>
            </w:r>
            <w:r>
              <w:rPr>
                <w:rFonts w:hint="eastAsia" w:ascii="仿宋_GB2312" w:eastAsia="仿宋_GB2312" w:hAnsiTheme="minorEastAsia" w:cstheme="minorEastAsia"/>
                <w:sz w:val="24"/>
              </w:rPr>
              <w:t>一般1-1</w:t>
            </w:r>
            <w:r>
              <w:rPr>
                <w:rFonts w:hint="eastAsia" w:ascii="仿宋_GB2312" w:eastAsia="仿宋_GB2312" w:hAnsiTheme="minorEastAsia" w:cstheme="minorEastAsia"/>
                <w:sz w:val="24"/>
                <w:lang w:val="en-US" w:eastAsia="zh-CN"/>
              </w:rPr>
              <w:t>0</w:t>
            </w:r>
            <w:r>
              <w:rPr>
                <w:rFonts w:hint="eastAsia" w:ascii="仿宋_GB2312" w:eastAsia="仿宋_GB2312" w:hAnsiTheme="minorEastAsia" w:cstheme="minorEastAsia"/>
                <w:sz w:val="24"/>
              </w:rPr>
              <w:t>分，不提供不得分。设计内容需展现学校形象及</w:t>
            </w:r>
            <w:r>
              <w:rPr>
                <w:rFonts w:hint="eastAsia" w:ascii="仿宋_GB2312" w:eastAsia="仿宋_GB2312" w:hAnsiTheme="minorEastAsia" w:cstheme="minorEastAsia"/>
                <w:sz w:val="24"/>
                <w:lang w:val="en-US" w:eastAsia="zh-CN"/>
              </w:rPr>
              <w:t>美术学院</w:t>
            </w:r>
            <w:r>
              <w:rPr>
                <w:rFonts w:hint="eastAsia" w:ascii="仿宋_GB2312" w:eastAsia="仿宋_GB2312" w:hAnsiTheme="minorEastAsia" w:cstheme="minorEastAsia"/>
                <w:sz w:val="24"/>
              </w:rPr>
              <w:t>文化氛围。内容应包括但不限于设计效果图、具体尺寸等内容</w:t>
            </w:r>
            <w:r>
              <w:rPr>
                <w:rFonts w:hint="eastAsia" w:ascii="仿宋_GB2312" w:eastAsia="仿宋_GB2312" w:hAnsiTheme="minorEastAsia" w:cstheme="minorEastAsia"/>
                <w:sz w:val="24"/>
                <w:lang w:eastAsia="zh-CN"/>
              </w:rPr>
              <w:t>，</w:t>
            </w:r>
            <w:r>
              <w:rPr>
                <w:rFonts w:hint="eastAsia" w:ascii="仿宋_GB2312" w:eastAsia="仿宋_GB2312" w:hAnsiTheme="minorEastAsia" w:cstheme="minorEastAsia"/>
                <w:sz w:val="24"/>
                <w:lang w:val="en-US" w:eastAsia="zh-CN"/>
              </w:rPr>
              <w:t>需有特别且新颖模块设计</w:t>
            </w:r>
            <w:r>
              <w:rPr>
                <w:rFonts w:hint="eastAsia" w:ascii="仿宋_GB2312" w:eastAsia="仿宋_GB2312" w:hAnsiTheme="minorEastAsia" w:cstheme="minorEastAsia"/>
                <w:sz w:val="24"/>
              </w:rPr>
              <w:t>。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620F84">
            <w:pPr>
              <w:spacing w:line="560" w:lineRule="exact"/>
              <w:ind w:left="-13" w:leftChars="-6"/>
              <w:jc w:val="center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40</w:t>
            </w:r>
          </w:p>
        </w:tc>
      </w:tr>
      <w:tr w14:paraId="4D26B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9A4348">
            <w:pPr>
              <w:spacing w:line="560" w:lineRule="exact"/>
              <w:ind w:left="-13" w:leftChars="-6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服务方案</w:t>
            </w:r>
          </w:p>
        </w:tc>
        <w:tc>
          <w:tcPr>
            <w:tcW w:w="6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141FC9">
            <w:pPr>
              <w:spacing w:after="0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ascii="仿宋_GB2312" w:eastAsia="仿宋_GB2312" w:hAnsiTheme="minorEastAsia" w:cstheme="minorEastAsia"/>
                <w:sz w:val="24"/>
              </w:rPr>
              <w:t>横向比较，根据服务方案及承诺酌情打分，优</w:t>
            </w:r>
            <w:r>
              <w:rPr>
                <w:rFonts w:hint="eastAsia" w:ascii="仿宋_GB2312" w:eastAsia="仿宋_GB2312" w:hAnsiTheme="minorEastAsia" w:cstheme="minorEastAsia"/>
                <w:sz w:val="24"/>
              </w:rPr>
              <w:t>8</w:t>
            </w:r>
            <w:r>
              <w:rPr>
                <w:rFonts w:ascii="仿宋_GB2312" w:eastAsia="仿宋_GB2312" w:hAnsiTheme="minorEastAsia" w:cstheme="minorEastAsia"/>
                <w:sz w:val="24"/>
              </w:rPr>
              <w:t>-</w:t>
            </w:r>
            <w:r>
              <w:rPr>
                <w:rFonts w:hint="eastAsia" w:ascii="仿宋_GB2312" w:eastAsia="仿宋_GB2312" w:hAnsiTheme="minorEastAsia" w:cstheme="minorEastAsia"/>
                <w:sz w:val="24"/>
              </w:rPr>
              <w:t>10</w:t>
            </w:r>
            <w:r>
              <w:rPr>
                <w:rFonts w:ascii="仿宋_GB2312" w:eastAsia="仿宋_GB2312" w:hAnsiTheme="minorEastAsia" w:cstheme="minorEastAsia"/>
                <w:sz w:val="24"/>
              </w:rPr>
              <w:t>分，良</w:t>
            </w:r>
            <w:r>
              <w:rPr>
                <w:rFonts w:ascii="仿宋_GB2312" w:eastAsia="仿宋_GB2312" w:hAnsiTheme="minorEastAsia" w:cstheme="minorEastAsia"/>
                <w:sz w:val="24"/>
              </w:rPr>
              <w:br w:type="textWrapping"/>
            </w:r>
            <w:r>
              <w:rPr>
                <w:rFonts w:hint="eastAsia" w:ascii="仿宋_GB2312" w:eastAsia="仿宋_GB2312" w:hAnsiTheme="minorEastAsia" w:cstheme="minorEastAsia"/>
                <w:sz w:val="24"/>
              </w:rPr>
              <w:t>4</w:t>
            </w:r>
            <w:r>
              <w:rPr>
                <w:rFonts w:ascii="仿宋_GB2312" w:eastAsia="仿宋_GB2312" w:hAnsiTheme="minorEastAsia" w:cstheme="minorEastAsia"/>
                <w:sz w:val="24"/>
              </w:rPr>
              <w:t>-</w:t>
            </w:r>
            <w:r>
              <w:rPr>
                <w:rFonts w:hint="eastAsia" w:ascii="仿宋_GB2312" w:eastAsia="仿宋_GB2312" w:hAnsiTheme="minorEastAsia" w:cstheme="minorEastAsia"/>
                <w:sz w:val="24"/>
              </w:rPr>
              <w:t>7</w:t>
            </w:r>
            <w:r>
              <w:rPr>
                <w:rFonts w:ascii="仿宋_GB2312" w:eastAsia="仿宋_GB2312" w:hAnsiTheme="minorEastAsia" w:cstheme="minorEastAsia"/>
                <w:sz w:val="24"/>
              </w:rPr>
              <w:t>分，一般1-</w:t>
            </w:r>
            <w:r>
              <w:rPr>
                <w:rFonts w:hint="eastAsia" w:ascii="仿宋_GB2312" w:eastAsia="仿宋_GB2312" w:hAnsiTheme="minorEastAsia" w:cstheme="minorEastAsia"/>
                <w:sz w:val="24"/>
              </w:rPr>
              <w:t>3</w:t>
            </w:r>
            <w:r>
              <w:rPr>
                <w:rFonts w:ascii="仿宋_GB2312" w:eastAsia="仿宋_GB2312" w:hAnsiTheme="minorEastAsia" w:cstheme="minorEastAsia"/>
                <w:sz w:val="24"/>
              </w:rPr>
              <w:t>分，不提供不得分。服务方案应包括:</w:t>
            </w:r>
            <w:r>
              <w:rPr>
                <w:rFonts w:ascii="仿宋_GB2312" w:eastAsia="仿宋_GB2312" w:hAnsiTheme="minorEastAsia" w:cstheme="minorEastAsia"/>
                <w:sz w:val="24"/>
              </w:rPr>
              <w:br w:type="textWrapping"/>
            </w:r>
            <w:r>
              <w:rPr>
                <w:rFonts w:hint="eastAsia" w:ascii="仿宋_GB2312" w:eastAsia="仿宋_GB2312" w:hAnsiTheme="minorEastAsia" w:cstheme="minorEastAsia"/>
                <w:sz w:val="24"/>
              </w:rPr>
              <w:t>响应</w:t>
            </w:r>
            <w:r>
              <w:rPr>
                <w:rFonts w:hint="eastAsia" w:ascii="仿宋_GB2312" w:eastAsia="仿宋_GB2312" w:hAnsiTheme="minorEastAsia" w:cstheme="minorEastAsia"/>
                <w:sz w:val="24"/>
                <w:lang w:val="en-US" w:eastAsia="zh-CN"/>
              </w:rPr>
              <w:t>施工时间承诺、售后质保与应急响应承诺以及其他专项保护措施</w:t>
            </w:r>
            <w:r>
              <w:rPr>
                <w:rFonts w:ascii="仿宋_GB2312" w:eastAsia="仿宋_GB2312" w:hAnsiTheme="minorEastAsia" w:cstheme="minorEastAsia"/>
                <w:sz w:val="24"/>
              </w:rPr>
              <w:t>。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143AF6">
            <w:pPr>
              <w:spacing w:line="560" w:lineRule="exact"/>
              <w:ind w:left="-13" w:leftChars="-6"/>
              <w:jc w:val="center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10</w:t>
            </w:r>
          </w:p>
        </w:tc>
      </w:tr>
    </w:tbl>
    <w:p w14:paraId="61C001EB">
      <w:pPr>
        <w:spacing w:after="0"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本次询价按符合询价要求且综合评分最高原则确定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成交</w:t>
      </w:r>
      <w:r>
        <w:rPr>
          <w:rFonts w:hint="eastAsia" w:ascii="仿宋_GB2312" w:hAnsi="仿宋_GB2312" w:eastAsia="仿宋_GB2312" w:cs="仿宋_GB2312"/>
          <w:sz w:val="28"/>
          <w:szCs w:val="28"/>
        </w:rPr>
        <w:t>单位，总分为100分，计算结果保留两位数。综合得分由高到低顺序排列，得分相同的，则按设计方案分由高到低确定排名。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DAE9184-9A9B-44D5-9357-8C1F5806A69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9AB969AD-4CDD-40B2-A2F1-1110C4790432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10F853CC-DF45-4A65-8A0B-35F839885EC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050D01DB-2050-4E39-826B-3C9B3285DB4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E484F457-AD3F-4F00-B674-ECA5EBE016E6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5F64AE9A-C771-403C-9440-5E4A9E556DDF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C0F280"/>
    <w:multiLevelType w:val="singleLevel"/>
    <w:tmpl w:val="80C0F280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AE1E6D02"/>
    <w:multiLevelType w:val="singleLevel"/>
    <w:tmpl w:val="AE1E6D02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B0738B6A"/>
    <w:multiLevelType w:val="singleLevel"/>
    <w:tmpl w:val="B0738B6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B6A2082D"/>
    <w:multiLevelType w:val="singleLevel"/>
    <w:tmpl w:val="B6A2082D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F96EB2D9"/>
    <w:multiLevelType w:val="singleLevel"/>
    <w:tmpl w:val="F96EB2D9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2809773C"/>
    <w:multiLevelType w:val="singleLevel"/>
    <w:tmpl w:val="2809773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3F98F849"/>
    <w:multiLevelType w:val="singleLevel"/>
    <w:tmpl w:val="3F98F849"/>
    <w:lvl w:ilvl="0" w:tentative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</w:rPr>
    </w:lvl>
  </w:abstractNum>
  <w:abstractNum w:abstractNumId="7">
    <w:nsid w:val="5FC19A56"/>
    <w:multiLevelType w:val="singleLevel"/>
    <w:tmpl w:val="5FC19A5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8">
    <w:nsid w:val="66812A71"/>
    <w:multiLevelType w:val="singleLevel"/>
    <w:tmpl w:val="66812A7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8"/>
  </w:num>
  <w:num w:numId="7">
    <w:abstractNumId w:val="1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F8E"/>
    <w:rsid w:val="00000FCB"/>
    <w:rsid w:val="00005A0D"/>
    <w:rsid w:val="0005689B"/>
    <w:rsid w:val="000C10B0"/>
    <w:rsid w:val="001109B9"/>
    <w:rsid w:val="00131827"/>
    <w:rsid w:val="00226744"/>
    <w:rsid w:val="002417AE"/>
    <w:rsid w:val="002601D0"/>
    <w:rsid w:val="00261895"/>
    <w:rsid w:val="002818D2"/>
    <w:rsid w:val="00324BAB"/>
    <w:rsid w:val="00336F8E"/>
    <w:rsid w:val="00340128"/>
    <w:rsid w:val="003531EA"/>
    <w:rsid w:val="00381D9C"/>
    <w:rsid w:val="003901B6"/>
    <w:rsid w:val="003C7B21"/>
    <w:rsid w:val="003E7AF1"/>
    <w:rsid w:val="00406DB0"/>
    <w:rsid w:val="00417494"/>
    <w:rsid w:val="00437336"/>
    <w:rsid w:val="0047335D"/>
    <w:rsid w:val="004B6AC5"/>
    <w:rsid w:val="004C0B33"/>
    <w:rsid w:val="0051111C"/>
    <w:rsid w:val="0051214E"/>
    <w:rsid w:val="00520334"/>
    <w:rsid w:val="005844DF"/>
    <w:rsid w:val="005A1E96"/>
    <w:rsid w:val="005A6469"/>
    <w:rsid w:val="005B7D41"/>
    <w:rsid w:val="005D7E6A"/>
    <w:rsid w:val="005E1009"/>
    <w:rsid w:val="005E35C3"/>
    <w:rsid w:val="00627797"/>
    <w:rsid w:val="00641F11"/>
    <w:rsid w:val="00691A9B"/>
    <w:rsid w:val="00693626"/>
    <w:rsid w:val="00694684"/>
    <w:rsid w:val="006C31BD"/>
    <w:rsid w:val="007337F8"/>
    <w:rsid w:val="007A6A5D"/>
    <w:rsid w:val="00851516"/>
    <w:rsid w:val="008C19DC"/>
    <w:rsid w:val="008F5E8C"/>
    <w:rsid w:val="00923F4F"/>
    <w:rsid w:val="009537CA"/>
    <w:rsid w:val="00954865"/>
    <w:rsid w:val="00984FA2"/>
    <w:rsid w:val="009862E8"/>
    <w:rsid w:val="009F0857"/>
    <w:rsid w:val="009F7D37"/>
    <w:rsid w:val="00A37E2E"/>
    <w:rsid w:val="00A71008"/>
    <w:rsid w:val="00AE14AB"/>
    <w:rsid w:val="00B34FAE"/>
    <w:rsid w:val="00B77E6B"/>
    <w:rsid w:val="00B94985"/>
    <w:rsid w:val="00CE548E"/>
    <w:rsid w:val="00CF4FC5"/>
    <w:rsid w:val="00D27368"/>
    <w:rsid w:val="00D3084B"/>
    <w:rsid w:val="00D43EE5"/>
    <w:rsid w:val="00D93B8C"/>
    <w:rsid w:val="00D973AF"/>
    <w:rsid w:val="00DF640B"/>
    <w:rsid w:val="00E022ED"/>
    <w:rsid w:val="00E24020"/>
    <w:rsid w:val="00E7509D"/>
    <w:rsid w:val="00EC123D"/>
    <w:rsid w:val="00F910B5"/>
    <w:rsid w:val="00FC1CF0"/>
    <w:rsid w:val="00FC6C62"/>
    <w:rsid w:val="0C3F29E7"/>
    <w:rsid w:val="0C5B1834"/>
    <w:rsid w:val="10F35681"/>
    <w:rsid w:val="130B43AB"/>
    <w:rsid w:val="148F51C9"/>
    <w:rsid w:val="15EA64E1"/>
    <w:rsid w:val="19B96463"/>
    <w:rsid w:val="1B795D21"/>
    <w:rsid w:val="1E37603B"/>
    <w:rsid w:val="246665DD"/>
    <w:rsid w:val="26A96ED6"/>
    <w:rsid w:val="270F5152"/>
    <w:rsid w:val="2BE75544"/>
    <w:rsid w:val="2C345A54"/>
    <w:rsid w:val="32FE389F"/>
    <w:rsid w:val="3785155B"/>
    <w:rsid w:val="431D17D6"/>
    <w:rsid w:val="462C5BD6"/>
    <w:rsid w:val="4A8E7AA5"/>
    <w:rsid w:val="4C3B02B5"/>
    <w:rsid w:val="4CA50490"/>
    <w:rsid w:val="4D9228C7"/>
    <w:rsid w:val="540C7047"/>
    <w:rsid w:val="56CD4F3D"/>
    <w:rsid w:val="5CAC13C7"/>
    <w:rsid w:val="5EB01ECC"/>
    <w:rsid w:val="5FBE0EC5"/>
    <w:rsid w:val="63EB0A27"/>
    <w:rsid w:val="64410AC2"/>
    <w:rsid w:val="762A53DF"/>
    <w:rsid w:val="7645515C"/>
    <w:rsid w:val="76774CB5"/>
    <w:rsid w:val="79F317C7"/>
    <w:rsid w:val="7D011CA4"/>
    <w:rsid w:val="7FDF5F2F"/>
    <w:rsid w:val="9BBEF43C"/>
    <w:rsid w:val="B47F10EE"/>
    <w:rsid w:val="E33F36C4"/>
    <w:rsid w:val="E6EE39D5"/>
    <w:rsid w:val="F3FFFE5A"/>
    <w:rsid w:val="FFBFE6A9"/>
    <w:rsid w:val="FFFE7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qFormat="1" w:unhideWhenUsed="0" w:uiPriority="99" w:semiHidden="0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index 4"/>
    <w:basedOn w:val="1"/>
    <w:next w:val="1"/>
    <w:qFormat/>
    <w:uiPriority w:val="99"/>
    <w:pPr>
      <w:ind w:left="600" w:leftChars="600"/>
    </w:pPr>
  </w:style>
  <w:style w:type="paragraph" w:styleId="12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3">
    <w:name w:val="head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1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Normal (Web)"/>
    <w:basedOn w:val="1"/>
    <w:semiHidden/>
    <w:unhideWhenUsed/>
    <w:qFormat/>
    <w:uiPriority w:val="99"/>
    <w:rPr>
      <w:sz w:val="24"/>
    </w:rPr>
  </w:style>
  <w:style w:type="paragraph" w:styleId="16">
    <w:name w:val="Title"/>
    <w:basedOn w:val="1"/>
    <w:next w:val="1"/>
    <w:link w:val="30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8">
    <w:name w:val="Table Grid"/>
    <w:basedOn w:val="1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22"/>
    <w:rPr>
      <w:b/>
    </w:rPr>
  </w:style>
  <w:style w:type="character" w:customStyle="1" w:styleId="21">
    <w:name w:val="标题 1 字符"/>
    <w:basedOn w:val="19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2">
    <w:name w:val="标题 2 字符"/>
    <w:basedOn w:val="19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3">
    <w:name w:val="标题 3 字符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4">
    <w:name w:val="标题 4 字符"/>
    <w:basedOn w:val="19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5">
    <w:name w:val="标题 5 字符"/>
    <w:basedOn w:val="19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6">
    <w:name w:val="标题 6 字符"/>
    <w:basedOn w:val="19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7">
    <w:name w:val="标题 7 字符"/>
    <w:basedOn w:val="19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8 字符"/>
    <w:basedOn w:val="19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9 字符"/>
    <w:basedOn w:val="19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字符"/>
    <w:basedOn w:val="19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副标题 字符"/>
    <w:basedOn w:val="19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引用 字符"/>
    <w:basedOn w:val="19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明显强调1"/>
    <w:basedOn w:val="19"/>
    <w:qFormat/>
    <w:uiPriority w:val="21"/>
    <w:rPr>
      <w:i/>
      <w:iCs/>
      <w:color w:val="2F5597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7">
    <w:name w:val="明显引用 字符"/>
    <w:basedOn w:val="19"/>
    <w:link w:val="36"/>
    <w:qFormat/>
    <w:uiPriority w:val="30"/>
    <w:rPr>
      <w:i/>
      <w:iCs/>
      <w:color w:val="2F5597" w:themeColor="accent1" w:themeShade="BF"/>
    </w:rPr>
  </w:style>
  <w:style w:type="character" w:customStyle="1" w:styleId="38">
    <w:name w:val="明显参考1"/>
    <w:basedOn w:val="19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9">
    <w:name w:val="页眉 字符"/>
    <w:basedOn w:val="19"/>
    <w:link w:val="13"/>
    <w:qFormat/>
    <w:uiPriority w:val="99"/>
    <w:rPr>
      <w:sz w:val="18"/>
      <w:szCs w:val="18"/>
    </w:rPr>
  </w:style>
  <w:style w:type="character" w:customStyle="1" w:styleId="40">
    <w:name w:val="页脚 字符"/>
    <w:basedOn w:val="19"/>
    <w:link w:val="1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1706</Words>
  <Characters>1848</Characters>
  <Lines>11</Lines>
  <Paragraphs>3</Paragraphs>
  <TotalTime>17</TotalTime>
  <ScaleCrop>false</ScaleCrop>
  <LinksUpToDate>false</LinksUpToDate>
  <CharactersWithSpaces>1859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2025-04-16T18:31:00Z</dcterms:created>
  <dc:creator>Howie Qin</dc:creator>
  <cp:lastModifiedBy>岩哥是英才</cp:lastModifiedBy>
  <cp:lastPrinted>2026-03-23T07:31:00Z</cp:lastPrinted>
  <dcterms:modified xsi:type="dcterms:W3CDTF">2026-04-10T06:01:49Z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eyJoZGlkIjoiZGEyNDI4NDFhZmM3MDIzZWY2NzhlYTFhNjIxZDExZmMiLCJ1c2VySWQiOiI2OTEzMjY3MTEifQ==</vt:lpwstr>
  </property>
  <property fmtid="{D5CDD505-2E9C-101B-9397-08002B2CF9AE}" pid="3" name="KSOProductBuildVer">
    <vt:lpwstr>2052-12.1.0.25225</vt:lpwstr>
  </property>
  <property fmtid="{D5CDD505-2E9C-101B-9397-08002B2CF9AE}" pid="4" name="ICV">
    <vt:lpwstr>7EA659B07CB3485C8DA1E1AA87F85307_13</vt:lpwstr>
  </property>
</Properties>
</file>