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402B9">
      <w:pPr>
        <w:pStyle w:val="2"/>
        <w:bidi w:val="0"/>
        <w:jc w:val="center"/>
        <w:rPr>
          <w:rFonts w:hint="eastAsia"/>
          <w:lang w:val="en-US" w:eastAsia="zh-CN"/>
        </w:rPr>
      </w:pPr>
      <w:r>
        <w:rPr>
          <w:rFonts w:hint="eastAsia"/>
          <w:lang w:val="en-US" w:eastAsia="zh-CN"/>
        </w:rPr>
        <w:t>2026年南京师范大学中北学院1-8号高压配电房运维服务+在线监控预警服务采购</w:t>
      </w:r>
    </w:p>
    <w:p w14:paraId="6C89D8CD">
      <w:pPr>
        <w:pStyle w:val="2"/>
        <w:numPr>
          <w:ilvl w:val="0"/>
          <w:numId w:val="1"/>
        </w:numPr>
        <w:bidi w:val="0"/>
        <w:jc w:val="both"/>
        <w:rPr>
          <w:rFonts w:hint="eastAsia" w:ascii="宋体" w:hAnsi="宋体" w:cs="宋体" w:eastAsiaTheme="minorEastAsia"/>
          <w:b w:val="0"/>
          <w:color w:val="000000"/>
          <w:kern w:val="2"/>
          <w:sz w:val="24"/>
          <w:szCs w:val="24"/>
          <w:lang w:val="en-US" w:eastAsia="zh-CN" w:bidi="ar-SA"/>
        </w:rPr>
      </w:pPr>
      <w:r>
        <w:rPr>
          <w:rFonts w:hint="eastAsia" w:ascii="宋体" w:hAnsi="宋体" w:eastAsia="宋体" w:cs="宋体"/>
          <w:b/>
          <w:sz w:val="24"/>
          <w:szCs w:val="24"/>
        </w:rPr>
        <w:t>项目名称：</w:t>
      </w:r>
      <w:r>
        <w:rPr>
          <w:rFonts w:hint="eastAsia" w:ascii="宋体" w:hAnsi="宋体" w:cs="宋体" w:eastAsiaTheme="minorEastAsia"/>
          <w:b w:val="0"/>
          <w:color w:val="000000"/>
          <w:kern w:val="2"/>
          <w:sz w:val="24"/>
          <w:szCs w:val="24"/>
          <w:lang w:val="en-US" w:eastAsia="zh-CN" w:bidi="ar-SA"/>
        </w:rPr>
        <w:t>2026年南京师范大学中北学院1-8号高压配电房运维服务+在线监控预警服务采购</w:t>
      </w:r>
    </w:p>
    <w:p w14:paraId="3E0E90C1">
      <w:pPr>
        <w:pStyle w:val="2"/>
        <w:numPr>
          <w:ilvl w:val="0"/>
          <w:numId w:val="0"/>
        </w:numPr>
        <w:bidi w:val="0"/>
        <w:jc w:val="both"/>
        <w:rPr>
          <w:rFonts w:hint="eastAsia" w:ascii="宋体" w:hAnsi="宋体" w:eastAsia="宋体" w:cs="宋体"/>
          <w:b/>
          <w:kern w:val="0"/>
          <w:sz w:val="24"/>
          <w:szCs w:val="24"/>
          <w:lang w:eastAsia="zh-CN"/>
        </w:rPr>
      </w:pPr>
      <w:r>
        <w:rPr>
          <w:rFonts w:hint="eastAsia" w:ascii="宋体" w:hAnsi="宋体" w:eastAsia="宋体" w:cs="宋体"/>
          <w:b/>
          <w:sz w:val="24"/>
          <w:szCs w:val="24"/>
        </w:rPr>
        <w:t>二、本项目的采购预算价：</w:t>
      </w:r>
      <w:r>
        <w:rPr>
          <w:rFonts w:hint="eastAsia" w:ascii="宋体" w:hAnsi="宋体" w:eastAsia="宋体" w:cs="宋体"/>
          <w:color w:val="000000"/>
          <w:sz w:val="24"/>
          <w:szCs w:val="24"/>
        </w:rPr>
        <w:t>人民币</w:t>
      </w:r>
      <w:r>
        <w:rPr>
          <w:rFonts w:hint="eastAsia" w:ascii="宋体" w:hAnsi="宋体" w:cs="宋体"/>
          <w:color w:val="000000"/>
          <w:sz w:val="24"/>
          <w:szCs w:val="24"/>
          <w:lang w:val="en-US" w:eastAsia="zh-CN"/>
        </w:rPr>
        <w:t>8</w:t>
      </w:r>
      <w:r>
        <w:rPr>
          <w:rFonts w:hint="eastAsia" w:ascii="宋体" w:hAnsi="宋体" w:cs="宋体"/>
          <w:color w:val="000000"/>
          <w:sz w:val="24"/>
          <w:szCs w:val="24"/>
          <w:lang w:eastAsia="zh-CN"/>
        </w:rPr>
        <w:t>万元</w:t>
      </w:r>
    </w:p>
    <w:p w14:paraId="28240F1B">
      <w:pPr>
        <w:tabs>
          <w:tab w:val="left" w:pos="3600"/>
        </w:tabs>
        <w:autoSpaceDE w:val="0"/>
        <w:autoSpaceDN w:val="0"/>
        <w:adjustRightInd w:val="0"/>
        <w:spacing w:line="420" w:lineRule="exact"/>
        <w:rPr>
          <w:rFonts w:hint="eastAsia" w:ascii="宋体" w:hAnsi="宋体" w:eastAsia="宋体" w:cs="宋体"/>
          <w:b/>
          <w:sz w:val="24"/>
          <w:szCs w:val="24"/>
          <w:lang w:val="en-US"/>
        </w:rPr>
      </w:pPr>
      <w:r>
        <w:rPr>
          <w:rFonts w:hint="eastAsia" w:ascii="宋体" w:hAnsi="宋体" w:eastAsia="宋体" w:cs="宋体"/>
          <w:b/>
          <w:sz w:val="24"/>
          <w:szCs w:val="24"/>
          <w:lang w:val="en-US"/>
        </w:rPr>
        <w:t>三</w:t>
      </w:r>
      <w:r>
        <w:rPr>
          <w:rFonts w:hint="eastAsia" w:ascii="宋体" w:hAnsi="宋体" w:eastAsia="宋体" w:cs="宋体"/>
          <w:b/>
          <w:sz w:val="24"/>
          <w:szCs w:val="24"/>
        </w:rPr>
        <w:t>、</w:t>
      </w:r>
      <w:r>
        <w:rPr>
          <w:rFonts w:hint="eastAsia" w:ascii="宋体" w:hAnsi="宋体" w:eastAsia="宋体" w:cs="宋体"/>
          <w:b/>
          <w:sz w:val="24"/>
          <w:szCs w:val="24"/>
          <w:lang w:val="en-US" w:eastAsia="zh-CN"/>
        </w:rPr>
        <w:t>项目基本情况及项目需求</w:t>
      </w:r>
    </w:p>
    <w:p w14:paraId="24BC5190">
      <w:pPr>
        <w:spacing w:line="500" w:lineRule="exact"/>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南京师范大学中北学院共分为一期、二期工程，其中一期工程2017年9月正式投入使用，一期范围共有5个高压配电房及一台室外美式变压器，二期工程2019年9月正式投入使用，二期范围共有三个高压配电房，学院共计8个室内高压配电房，均为干式变压器。</w:t>
      </w:r>
    </w:p>
    <w:p w14:paraId="63636DB9">
      <w:pPr>
        <w:spacing w:line="500" w:lineRule="exact"/>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2025年</w:t>
      </w:r>
      <w:r>
        <w:rPr>
          <w:rFonts w:hint="eastAsia" w:ascii="宋体" w:hAnsi="宋体" w:eastAsia="宋体" w:cs="宋体"/>
          <w:sz w:val="24"/>
          <w:szCs w:val="24"/>
        </w:rPr>
        <w:t>根据《中华人民共和国电力行业标准DL/T 596-2021电力设备预防性试验规程》要求，对</w:t>
      </w:r>
      <w:r>
        <w:rPr>
          <w:rFonts w:hint="eastAsia" w:ascii="宋体" w:hAnsi="宋体" w:eastAsia="宋体" w:cs="宋体"/>
          <w:sz w:val="24"/>
          <w:szCs w:val="24"/>
          <w:lang w:val="en-US" w:eastAsia="zh-CN"/>
        </w:rPr>
        <w:t>南京师范大学中北学院</w:t>
      </w:r>
      <w:r>
        <w:rPr>
          <w:rFonts w:hint="eastAsia" w:ascii="宋体" w:hAnsi="宋体" w:eastAsia="宋体" w:cs="宋体"/>
          <w:sz w:val="24"/>
          <w:szCs w:val="24"/>
        </w:rPr>
        <w:t>电力变压器以及高压柜进行</w:t>
      </w:r>
      <w:r>
        <w:rPr>
          <w:rFonts w:hint="eastAsia" w:ascii="宋体" w:hAnsi="宋体" w:eastAsia="宋体" w:cs="宋体"/>
          <w:sz w:val="24"/>
          <w:szCs w:val="24"/>
          <w:lang w:val="en-US" w:eastAsia="zh-CN"/>
        </w:rPr>
        <w:t>了</w:t>
      </w:r>
      <w:r>
        <w:rPr>
          <w:rFonts w:hint="eastAsia" w:ascii="宋体" w:hAnsi="宋体" w:eastAsia="宋体" w:cs="宋体"/>
          <w:sz w:val="24"/>
          <w:szCs w:val="24"/>
        </w:rPr>
        <w:t>预防性试验，保障校园内电力系统安全运行，</w:t>
      </w:r>
      <w:r>
        <w:rPr>
          <w:rFonts w:hint="eastAsia" w:ascii="宋体" w:hAnsi="宋体" w:eastAsia="宋体" w:cs="宋体"/>
          <w:sz w:val="24"/>
          <w:szCs w:val="24"/>
          <w:lang w:val="en-US" w:eastAsia="zh-CN"/>
        </w:rPr>
        <w:t>加强安全生产</w:t>
      </w:r>
      <w:r>
        <w:rPr>
          <w:rFonts w:hint="eastAsia" w:ascii="宋体" w:hAnsi="宋体" w:eastAsia="宋体" w:cs="宋体"/>
          <w:sz w:val="24"/>
          <w:szCs w:val="24"/>
        </w:rPr>
        <w:t>防患于未然。</w:t>
      </w:r>
      <w:r>
        <w:rPr>
          <w:rFonts w:hint="eastAsia" w:ascii="宋体" w:hAnsi="宋体" w:eastAsia="宋体" w:cs="宋体"/>
          <w:sz w:val="24"/>
          <w:szCs w:val="24"/>
          <w:lang w:val="en-US" w:eastAsia="zh-CN"/>
        </w:rPr>
        <w:t>并委托维保单位：江苏超能电力科技有限公司进行了为期1年的运维服务，对配电房加装了在线监控预警功能，可实现实时对配电房用电情况进行记录、分析、预警等功能。</w:t>
      </w:r>
    </w:p>
    <w:p w14:paraId="38F1A6C7">
      <w:pPr>
        <w:spacing w:line="500" w:lineRule="exact"/>
        <w:ind w:firstLine="480" w:firstLineChars="20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现2025年度维保巡检合同已经到期，但学院依然需要引进一家专业单位对高压配电房进行专业的运维巡检，并继续使用在线监控预警服务，实时对学院配供电设施进行监控，确保安全使用。</w:t>
      </w:r>
    </w:p>
    <w:p w14:paraId="0238A63A">
      <w:pPr>
        <w:spacing w:line="500" w:lineRule="exact"/>
        <w:jc w:val="left"/>
        <w:rPr>
          <w:rFonts w:hint="eastAsia" w:ascii="宋体" w:hAnsi="宋体" w:cs="宋体"/>
          <w:b/>
          <w:bCs/>
          <w:sz w:val="24"/>
          <w:szCs w:val="24"/>
          <w:lang w:eastAsia="zh-CN"/>
        </w:rPr>
      </w:pPr>
      <w:r>
        <w:rPr>
          <w:rFonts w:hint="eastAsia" w:ascii="宋体" w:hAnsi="宋体" w:eastAsia="宋体" w:cs="宋体"/>
          <w:b/>
          <w:color w:val="auto"/>
          <w:kern w:val="0"/>
          <w:sz w:val="24"/>
          <w:szCs w:val="24"/>
          <w:lang w:val="en-US" w:eastAsia="zh-CN"/>
        </w:rPr>
        <w:t>四、</w:t>
      </w:r>
      <w:r>
        <w:rPr>
          <w:rFonts w:hint="eastAsia" w:ascii="宋体" w:hAnsi="宋体" w:eastAsia="宋体" w:cs="宋体"/>
          <w:b/>
          <w:color w:val="auto"/>
          <w:kern w:val="0"/>
          <w:sz w:val="24"/>
          <w:szCs w:val="24"/>
        </w:rPr>
        <w:t>服务内容</w:t>
      </w:r>
      <w:r>
        <w:rPr>
          <w:rFonts w:hint="eastAsia" w:ascii="宋体" w:hAnsi="宋体" w:cs="宋体"/>
          <w:b/>
          <w:bCs/>
          <w:sz w:val="24"/>
          <w:szCs w:val="24"/>
          <w:lang w:eastAsia="zh-CN"/>
        </w:rPr>
        <w:t>：</w:t>
      </w:r>
    </w:p>
    <w:p w14:paraId="0D9251DF">
      <w:pPr>
        <w:spacing w:line="500" w:lineRule="exact"/>
        <w:ind w:firstLine="482" w:firstLineChars="200"/>
        <w:jc w:val="left"/>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(一）电力运维服务</w:t>
      </w:r>
    </w:p>
    <w:p w14:paraId="569B1E61">
      <w:pPr>
        <w:spacing w:line="500" w:lineRule="exact"/>
        <w:ind w:firstLine="482" w:firstLineChars="200"/>
        <w:jc w:val="left"/>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1、线下运维服务</w:t>
      </w:r>
    </w:p>
    <w:p w14:paraId="45878400">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一、每月一次安全巡检，特殊异常天气加强巡检，内容包含：</w:t>
      </w:r>
    </w:p>
    <w:p w14:paraId="59E7731A">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1、高低压电气设备电力参数、设备仪表、微机保护装置是否正常；</w:t>
      </w:r>
    </w:p>
    <w:p w14:paraId="4F516895">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2、检查配电房环境、设备、电缆是否存在安全隐患；</w:t>
      </w:r>
    </w:p>
    <w:p w14:paraId="46C4DC58">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3、每月为用户提供一份专业巡检分析报告。</w:t>
      </w:r>
    </w:p>
    <w:p w14:paraId="0EB626F6">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二、24小时抢修服务，内容包含：</w:t>
      </w:r>
    </w:p>
    <w:p w14:paraId="3995F3E3">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对于用户涉及的变压器、开关柜、电缆等电气设备损坏及停电事故进行抢修工作。在接到用户抢修通知后 30 分钟内到达现场进行抢修工作。</w:t>
      </w:r>
    </w:p>
    <w:p w14:paraId="0751CEE9">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三、设备定期除尘</w:t>
      </w:r>
    </w:p>
    <w:p w14:paraId="34F844C5">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每年对用户高低压柜及变压器进行清灰除尘，防止设备积灰造成发热或引发短路。</w:t>
      </w:r>
    </w:p>
    <w:p w14:paraId="60DE1A39">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四、应急演练服务</w:t>
      </w:r>
    </w:p>
    <w:p w14:paraId="448A6FF5">
      <w:pPr>
        <w:keepNext w:val="0"/>
        <w:keepLines w:val="0"/>
        <w:pageBreakBefore w:val="0"/>
        <w:widowControl w:val="0"/>
        <w:tabs>
          <w:tab w:val="left" w:pos="-1980"/>
          <w:tab w:val="left" w:pos="360"/>
          <w:tab w:val="left" w:pos="567"/>
          <w:tab w:val="left" w:pos="709"/>
          <w:tab w:val="left" w:pos="993"/>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sz w:val="24"/>
          <w:szCs w:val="24"/>
        </w:rPr>
        <w:t>1.</w:t>
      </w:r>
      <w:r>
        <w:rPr>
          <w:rFonts w:hint="eastAsia" w:ascii="宋体" w:hAnsi="宋体" w:eastAsia="宋体" w:cs="宋体"/>
          <w:color w:val="auto"/>
          <w:kern w:val="0"/>
          <w:sz w:val="24"/>
          <w:szCs w:val="24"/>
        </w:rPr>
        <w:t>每年一次（</w:t>
      </w:r>
      <w:r>
        <w:rPr>
          <w:rFonts w:hint="eastAsia" w:ascii="宋体" w:hAnsi="宋体" w:eastAsia="宋体" w:cs="宋体"/>
          <w:color w:val="auto"/>
          <w:kern w:val="0"/>
          <w:sz w:val="24"/>
          <w:szCs w:val="24"/>
          <w:lang w:eastAsia="zh-CN"/>
        </w:rPr>
        <w:t>错峰</w:t>
      </w:r>
      <w:r>
        <w:rPr>
          <w:rFonts w:hint="eastAsia" w:ascii="宋体" w:hAnsi="宋体" w:eastAsia="宋体" w:cs="宋体"/>
          <w:color w:val="auto"/>
          <w:kern w:val="0"/>
          <w:sz w:val="24"/>
          <w:szCs w:val="24"/>
        </w:rPr>
        <w:t>），服务单位需编制应急演练方案经院方批准</w:t>
      </w:r>
      <w:r>
        <w:rPr>
          <w:rFonts w:hint="eastAsia" w:ascii="宋体" w:hAnsi="宋体" w:eastAsia="宋体" w:cs="宋体"/>
          <w:color w:val="auto"/>
          <w:kern w:val="0"/>
          <w:sz w:val="24"/>
          <w:szCs w:val="24"/>
          <w:lang w:eastAsia="zh-CN"/>
        </w:rPr>
        <w:t>；</w:t>
      </w:r>
    </w:p>
    <w:p w14:paraId="739AAA42">
      <w:pPr>
        <w:keepNext w:val="0"/>
        <w:keepLines w:val="0"/>
        <w:pageBreakBefore w:val="0"/>
        <w:widowControl w:val="0"/>
        <w:tabs>
          <w:tab w:val="left" w:pos="-1980"/>
          <w:tab w:val="left" w:pos="360"/>
          <w:tab w:val="left" w:pos="567"/>
          <w:tab w:val="left" w:pos="709"/>
          <w:tab w:val="left" w:pos="993"/>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lang w:eastAsia="zh-CN"/>
        </w:rPr>
      </w:pPr>
      <w:r>
        <w:rPr>
          <w:rFonts w:hint="eastAsia" w:ascii="宋体" w:hAnsi="宋体" w:eastAsia="宋体" w:cs="宋体"/>
          <w:sz w:val="24"/>
          <w:szCs w:val="24"/>
        </w:rPr>
        <w:t>2.</w:t>
      </w:r>
      <w:r>
        <w:rPr>
          <w:rFonts w:hint="eastAsia" w:ascii="宋体" w:hAnsi="宋体" w:eastAsia="宋体" w:cs="宋体"/>
          <w:color w:val="auto"/>
          <w:kern w:val="0"/>
          <w:sz w:val="24"/>
          <w:szCs w:val="24"/>
        </w:rPr>
        <w:t>参与应急演练人员需持有电工证</w:t>
      </w:r>
      <w:r>
        <w:rPr>
          <w:rFonts w:hint="eastAsia" w:ascii="宋体" w:hAnsi="宋体" w:eastAsia="宋体" w:cs="宋体"/>
          <w:color w:val="auto"/>
          <w:kern w:val="0"/>
          <w:sz w:val="24"/>
          <w:szCs w:val="24"/>
          <w:lang w:eastAsia="zh-CN"/>
        </w:rPr>
        <w:t>；</w:t>
      </w:r>
    </w:p>
    <w:p w14:paraId="0282AB81">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eastAsia="宋体" w:cs="宋体"/>
          <w:sz w:val="24"/>
          <w:szCs w:val="24"/>
        </w:rPr>
        <w:t>3.</w:t>
      </w:r>
      <w:r>
        <w:rPr>
          <w:rFonts w:hint="eastAsia" w:ascii="宋体" w:hAnsi="宋体" w:eastAsia="宋体" w:cs="宋体"/>
          <w:color w:val="auto"/>
          <w:kern w:val="0"/>
          <w:sz w:val="24"/>
          <w:szCs w:val="24"/>
        </w:rPr>
        <w:t>配合</w:t>
      </w:r>
      <w:r>
        <w:rPr>
          <w:rFonts w:hint="eastAsia" w:ascii="宋体" w:hAnsi="宋体" w:eastAsia="宋体" w:cs="宋体"/>
          <w:color w:val="auto"/>
          <w:kern w:val="0"/>
          <w:sz w:val="24"/>
          <w:szCs w:val="24"/>
          <w:lang w:val="en-US" w:eastAsia="zh-CN"/>
        </w:rPr>
        <w:t>校</w:t>
      </w:r>
      <w:r>
        <w:rPr>
          <w:rFonts w:hint="eastAsia" w:ascii="宋体" w:hAnsi="宋体" w:eastAsia="宋体" w:cs="宋体"/>
          <w:color w:val="auto"/>
          <w:kern w:val="0"/>
          <w:sz w:val="24"/>
          <w:szCs w:val="24"/>
        </w:rPr>
        <w:t>方做好每年</w:t>
      </w:r>
      <w:r>
        <w:rPr>
          <w:rFonts w:hint="eastAsia" w:ascii="宋体" w:hAnsi="宋体" w:eastAsia="宋体" w:cs="宋体"/>
          <w:color w:val="auto"/>
          <w:kern w:val="0"/>
          <w:sz w:val="24"/>
          <w:szCs w:val="24"/>
          <w:lang w:eastAsia="zh-CN"/>
        </w:rPr>
        <w:t>停电</w:t>
      </w:r>
      <w:r>
        <w:rPr>
          <w:rFonts w:hint="eastAsia" w:ascii="宋体" w:hAnsi="宋体" w:eastAsia="宋体" w:cs="宋体"/>
          <w:color w:val="auto"/>
          <w:kern w:val="0"/>
          <w:sz w:val="24"/>
          <w:szCs w:val="24"/>
        </w:rPr>
        <w:t>应急演练并配合提供相应资料。</w:t>
      </w:r>
    </w:p>
    <w:p w14:paraId="4A9D98BF">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五、备品备件应急供应</w:t>
      </w:r>
    </w:p>
    <w:p w14:paraId="3DFADF3D">
      <w:pPr>
        <w:spacing w:line="500" w:lineRule="exact"/>
        <w:ind w:firstLine="480" w:firstLineChars="200"/>
        <w:jc w:val="left"/>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为用户提供设备内部元器件采购更换服务，元器件采购价格不高于市场价，并安排技术人员在元器件到现场4小时内更换完毕。维修费用一事一结。</w:t>
      </w:r>
    </w:p>
    <w:p w14:paraId="7F40D313">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六、增减容等供电手续办理</w:t>
      </w:r>
    </w:p>
    <w:p w14:paraId="512207D3">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为用户提供新上、增容、减容等手续办理服务，用户仅需配合提供相关资料。</w:t>
      </w:r>
    </w:p>
    <w:p w14:paraId="6639C091">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七、配电房目视化标准</w:t>
      </w:r>
    </w:p>
    <w:p w14:paraId="1853B226">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为用户提供配电房安全管理目视化标准设计，具体包含配电房运维制度、安全警示标识、区域划分标识等。</w:t>
      </w:r>
    </w:p>
    <w:p w14:paraId="708C6023">
      <w:pPr>
        <w:spacing w:line="500" w:lineRule="exact"/>
        <w:ind w:firstLine="482" w:firstLineChars="200"/>
        <w:jc w:val="left"/>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（二）、线上平台服务：</w:t>
      </w:r>
    </w:p>
    <w:p w14:paraId="188271C8">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一、7×24小时实时预警</w:t>
      </w:r>
    </w:p>
    <w:p w14:paraId="3378F862">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平台管理人员7*24小时实时监测，发现异常报警，快速完成诊断，通过线下联动，及时除隐患消，恢复供电。</w:t>
      </w:r>
    </w:p>
    <w:p w14:paraId="61178486">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二、设备运行状态监测</w:t>
      </w:r>
    </w:p>
    <w:p w14:paraId="3CA6E844">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全方位实时监测电流、电压、温度、谐波、漏电流、功率因数等主要参数，通过系统专家模型分析，计算出客户的安全等级，随时掌握配电系统运行状态。</w:t>
      </w:r>
    </w:p>
    <w:p w14:paraId="1F7DD4A8">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三、设备全生命周期管理</w:t>
      </w:r>
    </w:p>
    <w:p w14:paraId="01F0B727">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建立配电设备电子台账，给每台设备制定生命周期管理方案，使设备都有对应的“身份证”。发生故障时能立即调取该设备的相关信息（图纸、厂家、生产日期、安装位置、保养周期），确保运维人员及时排除故障、联系厂家。</w:t>
      </w:r>
    </w:p>
    <w:p w14:paraId="59E4E8FC">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四、用电数据分析与建议</w:t>
      </w:r>
    </w:p>
    <w:p w14:paraId="38AFF304">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系统每月自动发送月度用电分析报告，根据用电数据给出安全性评估及能耗诊断</w:t>
      </w:r>
    </w:p>
    <w:p w14:paraId="1B612CB2">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提供年度用电情况分析报告，对全年的用电情况给出合理化建议。</w:t>
      </w:r>
    </w:p>
    <w:p w14:paraId="499C1CAE">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五、手机电脑远程查询</w:t>
      </w:r>
    </w:p>
    <w:p w14:paraId="56CCDE68">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提供手机APP及电脑端软件登录，客户能随时掌握用电情况，各种报表对比轻松获得；发生电气故障及时推送信息，避免事故扩大，降低损失。</w:t>
      </w:r>
    </w:p>
    <w:p w14:paraId="15EADD62">
      <w:pPr>
        <w:spacing w:line="500" w:lineRule="exact"/>
        <w:ind w:firstLine="482" w:firstLineChars="200"/>
        <w:jc w:val="left"/>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（三）智能运维系统管理服务</w:t>
      </w:r>
    </w:p>
    <w:p w14:paraId="3CF02710">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1.配电房的远程运维</w:t>
      </w:r>
    </w:p>
    <w:p w14:paraId="3BF3CF86">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运行维护远程运维云平台，实现对视频监控子系统、配电房一次二次接线图、供配电参数监视（智能三相电量监测仪，监测UPS输出配电柜220V/380V低压供配电参数）、抢修派单系统（发生用电故障系统自动派单至用户端）、入侵检测子系统统一监控管理。实现以配电房为单位，对配电房内进行远程数据监测。</w:t>
      </w:r>
    </w:p>
    <w:p w14:paraId="305D0B73">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2.配电房的报警数据、故障数据的远程检测</w:t>
      </w:r>
    </w:p>
    <w:p w14:paraId="5B10B2E5">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通过智能运维系统平台，及时发现电流、电压异常数据（过载、过流、短路），及时发出报警信号，启动报警装置。电气设备或线路出现异常情况，能通过系统平台检测出相关联故障并及时消除，预防电气火灾发生。每月提供用电安全分析报告一份。</w:t>
      </w:r>
    </w:p>
    <w:p w14:paraId="66655238">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3.配电房数据统计管理</w:t>
      </w:r>
    </w:p>
    <w:p w14:paraId="5F5F3A12">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通过电力监测设备，对配电房高低压柜设备进行数据采集，每月自动产生数据报表，通过用电数据分析，及时排查电气隐患，合理调整用电设备，定期开展对供用电设备的检测、维护、保养工作，以保障设备的安全高效，节能降耗；系统应能建立设备资产台账，对运维范围内所维护的电气设备及图纸资料进行统一数据录入，并能及时更新。</w:t>
      </w:r>
    </w:p>
    <w:p w14:paraId="44A2941F">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4.数据保密及安全</w:t>
      </w:r>
    </w:p>
    <w:p w14:paraId="4E05C706">
      <w:pPr>
        <w:spacing w:line="500" w:lineRule="exact"/>
        <w:ind w:firstLine="480" w:firstLineChars="200"/>
        <w:jc w:val="left"/>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智能运维平台须对服务器数据库加密，防止数据外泄。</w:t>
      </w:r>
    </w:p>
    <w:p w14:paraId="1C98198C">
      <w:pPr>
        <w:numPr>
          <w:ilvl w:val="0"/>
          <w:numId w:val="2"/>
        </w:numPr>
        <w:spacing w:line="500" w:lineRule="exact"/>
        <w:ind w:firstLine="480" w:firstLineChars="200"/>
        <w:jc w:val="left"/>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配电房情况明细</w:t>
      </w:r>
    </w:p>
    <w:tbl>
      <w:tblPr>
        <w:tblStyle w:val="3"/>
        <w:tblW w:w="87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92"/>
        <w:gridCol w:w="1062"/>
        <w:gridCol w:w="1397"/>
        <w:gridCol w:w="489"/>
        <w:gridCol w:w="489"/>
        <w:gridCol w:w="846"/>
        <w:gridCol w:w="846"/>
        <w:gridCol w:w="3094"/>
      </w:tblGrid>
      <w:tr w14:paraId="5CEC9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8715" w:type="dxa"/>
            <w:gridSpan w:val="8"/>
            <w:tcBorders>
              <w:top w:val="single" w:color="000000" w:sz="8" w:space="0"/>
              <w:left w:val="single" w:color="000000" w:sz="8" w:space="0"/>
              <w:bottom w:val="single" w:color="000000" w:sz="8" w:space="0"/>
              <w:right w:val="single" w:color="000000" w:sz="8" w:space="0"/>
            </w:tcBorders>
            <w:shd w:val="clear" w:color="auto" w:fill="auto"/>
            <w:vAlign w:val="center"/>
          </w:tcPr>
          <w:p w14:paraId="068528A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中北学院1号配电房运维明细（南苑食堂西侧）</w:t>
            </w:r>
          </w:p>
        </w:tc>
      </w:tr>
      <w:tr w14:paraId="2591E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53481B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项次</w:t>
            </w:r>
          </w:p>
        </w:tc>
        <w:tc>
          <w:tcPr>
            <w:tcW w:w="10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E7FA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运维巡检项目</w:t>
            </w:r>
          </w:p>
        </w:tc>
        <w:tc>
          <w:tcPr>
            <w:tcW w:w="14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A44B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w:t>
            </w:r>
          </w:p>
        </w:tc>
        <w:tc>
          <w:tcPr>
            <w:tcW w:w="4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CBD6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w:t>
            </w:r>
          </w:p>
        </w:tc>
        <w:tc>
          <w:tcPr>
            <w:tcW w:w="4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316D9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w:t>
            </w:r>
          </w:p>
        </w:tc>
        <w:tc>
          <w:tcPr>
            <w:tcW w:w="7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014B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单价（元）</w:t>
            </w:r>
          </w:p>
        </w:tc>
        <w:tc>
          <w:tcPr>
            <w:tcW w:w="7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3950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合价（元）</w:t>
            </w:r>
          </w:p>
        </w:tc>
        <w:tc>
          <w:tcPr>
            <w:tcW w:w="331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E8C6B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14:paraId="13DEC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6D59784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7595E55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变压器</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2171454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1250kVA</w:t>
            </w:r>
            <w:r>
              <w:rPr>
                <w:rStyle w:val="5"/>
                <w:lang w:val="en-US" w:eastAsia="zh-CN" w:bidi="ar"/>
              </w:rPr>
              <w:t>、</w:t>
            </w:r>
            <w:r>
              <w:rPr>
                <w:rStyle w:val="6"/>
                <w:rFonts w:eastAsia="宋体"/>
                <w:lang w:val="en-US" w:eastAsia="zh-CN" w:bidi="ar"/>
              </w:rPr>
              <w:t>1600kVA</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745E9D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2625BCE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2E1591C2">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7DE0707E">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nil"/>
              <w:right w:val="single" w:color="000000" w:sz="8" w:space="0"/>
            </w:tcBorders>
            <w:shd w:val="clear" w:color="auto" w:fill="auto"/>
            <w:vAlign w:val="center"/>
          </w:tcPr>
          <w:p w14:paraId="50C1B4F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Style w:val="5"/>
                <w:lang w:val="en-US" w:eastAsia="zh-CN" w:bidi="ar"/>
              </w:rPr>
              <w:t>、对所有用电设备进行安全用电检查（螺丝、桩头、指示、开关状态、外观、电压、电流、功率因数等）</w:t>
            </w:r>
          </w:p>
        </w:tc>
      </w:tr>
      <w:tr w14:paraId="7D4F2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16C8955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24C5634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所用变</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05EA345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30kVA</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60F04A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4778509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478B1229">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3D809AC4">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nil"/>
              <w:right w:val="single" w:color="000000" w:sz="8" w:space="0"/>
            </w:tcBorders>
            <w:shd w:val="clear" w:color="auto" w:fill="auto"/>
            <w:vAlign w:val="center"/>
          </w:tcPr>
          <w:p w14:paraId="1D01C2D1">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r>
              <w:rPr>
                <w:rStyle w:val="5"/>
                <w:lang w:val="en-US" w:eastAsia="zh-CN" w:bidi="ar"/>
              </w:rPr>
              <w:t>、对所有用电设备连接处进行红外测</w:t>
            </w:r>
          </w:p>
        </w:tc>
      </w:tr>
      <w:tr w14:paraId="767EE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46C9FFD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5A774EE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高压柜及开关</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116617E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断路器</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6F1E41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13A9CA2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769F0172">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7F09C178">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nil"/>
              <w:right w:val="single" w:color="000000" w:sz="8" w:space="0"/>
            </w:tcBorders>
            <w:shd w:val="clear" w:color="auto" w:fill="auto"/>
            <w:vAlign w:val="center"/>
          </w:tcPr>
          <w:p w14:paraId="76E33A7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Style w:val="5"/>
                <w:lang w:val="en-US" w:eastAsia="zh-CN" w:bidi="ar"/>
              </w:rPr>
              <w:t>、目视化环境检查</w:t>
            </w:r>
            <w:r>
              <w:rPr>
                <w:rStyle w:val="6"/>
                <w:rFonts w:eastAsia="宋体"/>
                <w:lang w:val="en-US" w:eastAsia="zh-CN" w:bidi="ar"/>
              </w:rPr>
              <w:t>(</w:t>
            </w:r>
            <w:r>
              <w:rPr>
                <w:rStyle w:val="5"/>
                <w:lang w:val="en-US" w:eastAsia="zh-CN" w:bidi="ar"/>
              </w:rPr>
              <w:t>卫生、标识牌、有无异味、照明等）</w:t>
            </w:r>
          </w:p>
        </w:tc>
      </w:tr>
      <w:tr w14:paraId="6E820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2B5A073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7330D9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低压柜</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03D2DC8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0.4KV</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6C45CB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6C517DA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080DBB99">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7D527D8A">
            <w:pPr>
              <w:jc w:val="center"/>
              <w:rPr>
                <w:rFonts w:hint="default" w:ascii="Times New Roman" w:hAnsi="Times New Roman" w:eastAsia="宋体" w:cs="Times New Roman"/>
                <w:i w:val="0"/>
                <w:iCs w:val="0"/>
                <w:color w:val="000000"/>
                <w:sz w:val="21"/>
                <w:szCs w:val="21"/>
                <w:u w:val="none"/>
              </w:rPr>
            </w:pP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2FBF3621">
            <w:pPr>
              <w:rPr>
                <w:rFonts w:hint="eastAsia" w:ascii="宋体" w:hAnsi="宋体" w:eastAsia="宋体" w:cs="宋体"/>
                <w:i w:val="0"/>
                <w:iCs w:val="0"/>
                <w:color w:val="000000"/>
                <w:sz w:val="22"/>
                <w:szCs w:val="22"/>
                <w:u w:val="none"/>
              </w:rPr>
            </w:pPr>
          </w:p>
        </w:tc>
      </w:tr>
      <w:tr w14:paraId="2358C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8715" w:type="dxa"/>
            <w:gridSpan w:val="8"/>
            <w:tcBorders>
              <w:top w:val="nil"/>
              <w:left w:val="single" w:color="000000" w:sz="8" w:space="0"/>
              <w:bottom w:val="single" w:color="000000" w:sz="8" w:space="0"/>
              <w:right w:val="single" w:color="000000" w:sz="8" w:space="0"/>
            </w:tcBorders>
            <w:shd w:val="clear" w:color="auto" w:fill="auto"/>
            <w:vAlign w:val="center"/>
          </w:tcPr>
          <w:p w14:paraId="7AE124A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中北学院2号配电房运维明细（2号公寓庭院内）</w:t>
            </w:r>
          </w:p>
        </w:tc>
      </w:tr>
      <w:tr w14:paraId="3116F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3055DED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ADE7A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变压器</w:t>
            </w:r>
          </w:p>
        </w:tc>
        <w:tc>
          <w:tcPr>
            <w:tcW w:w="14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ED733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1250kVA</w:t>
            </w:r>
            <w:r>
              <w:rPr>
                <w:rStyle w:val="5"/>
                <w:lang w:val="en-US" w:eastAsia="zh-CN" w:bidi="ar"/>
              </w:rPr>
              <w:t>、</w:t>
            </w:r>
            <w:r>
              <w:rPr>
                <w:rStyle w:val="6"/>
                <w:rFonts w:eastAsia="宋体"/>
                <w:lang w:val="en-US" w:eastAsia="zh-CN" w:bidi="ar"/>
              </w:rPr>
              <w:t>1000kVA</w:t>
            </w:r>
          </w:p>
        </w:tc>
        <w:tc>
          <w:tcPr>
            <w:tcW w:w="4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4C048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766C2D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7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3EC10D4">
            <w:pPr>
              <w:jc w:val="center"/>
              <w:rPr>
                <w:rFonts w:hint="default" w:ascii="Times New Roman" w:hAnsi="Times New Roman" w:eastAsia="宋体" w:cs="Times New Roman"/>
                <w:i w:val="0"/>
                <w:iCs w:val="0"/>
                <w:color w:val="000000"/>
                <w:sz w:val="21"/>
                <w:szCs w:val="21"/>
                <w:u w:val="none"/>
              </w:rPr>
            </w:pPr>
          </w:p>
        </w:tc>
        <w:tc>
          <w:tcPr>
            <w:tcW w:w="7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6037DDF">
            <w:pPr>
              <w:jc w:val="center"/>
              <w:rPr>
                <w:rFonts w:hint="default" w:ascii="Times New Roman" w:hAnsi="Times New Roman" w:eastAsia="宋体" w:cs="Times New Roman"/>
                <w:i w:val="0"/>
                <w:iCs w:val="0"/>
                <w:color w:val="000000"/>
                <w:sz w:val="21"/>
                <w:szCs w:val="21"/>
                <w:u w:val="none"/>
              </w:rPr>
            </w:pPr>
          </w:p>
        </w:tc>
        <w:tc>
          <w:tcPr>
            <w:tcW w:w="3315" w:type="dxa"/>
            <w:tcBorders>
              <w:top w:val="single" w:color="000000" w:sz="8" w:space="0"/>
              <w:left w:val="single" w:color="000000" w:sz="8" w:space="0"/>
              <w:bottom w:val="nil"/>
              <w:right w:val="single" w:color="000000" w:sz="8" w:space="0"/>
            </w:tcBorders>
            <w:shd w:val="clear" w:color="auto" w:fill="auto"/>
            <w:vAlign w:val="center"/>
          </w:tcPr>
          <w:p w14:paraId="2D6F59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r>
              <w:rPr>
                <w:rStyle w:val="5"/>
                <w:lang w:val="en-US" w:eastAsia="zh-CN" w:bidi="ar"/>
              </w:rPr>
              <w:t>对所有用电设备进行安全用电检查（螺丝、桩头、指示、开关状态、外观、电压、电流、功率因数等</w:t>
            </w:r>
          </w:p>
        </w:tc>
      </w:tr>
      <w:tr w14:paraId="25A6B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58E1654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4BC146C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高压柜及开关</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69431C1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断路器</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1E4723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4FCB987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103222E0">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372322A4">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nil"/>
              <w:right w:val="single" w:color="000000" w:sz="8" w:space="0"/>
            </w:tcBorders>
            <w:shd w:val="clear" w:color="auto" w:fill="auto"/>
            <w:vAlign w:val="center"/>
          </w:tcPr>
          <w:p w14:paraId="5460377F">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r>
              <w:rPr>
                <w:rStyle w:val="5"/>
                <w:lang w:val="en-US" w:eastAsia="zh-CN" w:bidi="ar"/>
              </w:rPr>
              <w:t>、对所有用电设备连接处进行红外测</w:t>
            </w:r>
          </w:p>
        </w:tc>
      </w:tr>
      <w:tr w14:paraId="10694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2314CBE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3BE2D2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低压柜</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7AC80E9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0.4KV</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14C811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783CBAE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2AEA706F">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2AD12F2C">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single" w:color="000000" w:sz="8" w:space="0"/>
              <w:right w:val="single" w:color="000000" w:sz="8" w:space="0"/>
            </w:tcBorders>
            <w:shd w:val="clear" w:color="auto" w:fill="auto"/>
            <w:vAlign w:val="center"/>
          </w:tcPr>
          <w:p w14:paraId="1574C36F">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Style w:val="5"/>
                <w:lang w:val="en-US" w:eastAsia="zh-CN" w:bidi="ar"/>
              </w:rPr>
              <w:t>、目视化环境检查</w:t>
            </w:r>
            <w:r>
              <w:rPr>
                <w:rStyle w:val="6"/>
                <w:rFonts w:eastAsia="宋体"/>
                <w:lang w:val="en-US" w:eastAsia="zh-CN" w:bidi="ar"/>
              </w:rPr>
              <w:t>(</w:t>
            </w:r>
            <w:r>
              <w:rPr>
                <w:rStyle w:val="5"/>
                <w:lang w:val="en-US" w:eastAsia="zh-CN" w:bidi="ar"/>
              </w:rPr>
              <w:t>卫生、标识牌、有无异味、照明等）</w:t>
            </w:r>
          </w:p>
        </w:tc>
      </w:tr>
      <w:tr w14:paraId="3CC1E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8715" w:type="dxa"/>
            <w:gridSpan w:val="8"/>
            <w:tcBorders>
              <w:top w:val="nil"/>
              <w:left w:val="single" w:color="000000" w:sz="8" w:space="0"/>
              <w:bottom w:val="single" w:color="000000" w:sz="8" w:space="0"/>
              <w:right w:val="single" w:color="000000" w:sz="8" w:space="0"/>
            </w:tcBorders>
            <w:shd w:val="clear" w:color="auto" w:fill="auto"/>
            <w:vAlign w:val="center"/>
          </w:tcPr>
          <w:p w14:paraId="5604A19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中北学院3号配电房运维明细（理工a庭院内）</w:t>
            </w:r>
          </w:p>
        </w:tc>
      </w:tr>
      <w:tr w14:paraId="78505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495" w:type="dxa"/>
            <w:vMerge w:val="restart"/>
            <w:tcBorders>
              <w:top w:val="nil"/>
              <w:left w:val="single" w:color="000000" w:sz="8" w:space="0"/>
              <w:bottom w:val="single" w:color="000000" w:sz="8" w:space="0"/>
              <w:right w:val="single" w:color="000000" w:sz="8" w:space="0"/>
            </w:tcBorders>
            <w:shd w:val="clear" w:color="auto" w:fill="auto"/>
            <w:vAlign w:val="center"/>
          </w:tcPr>
          <w:p w14:paraId="78A6A99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83C33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变压器</w:t>
            </w:r>
          </w:p>
        </w:tc>
        <w:tc>
          <w:tcPr>
            <w:tcW w:w="1410" w:type="dxa"/>
            <w:tcBorders>
              <w:top w:val="single" w:color="000000" w:sz="8" w:space="0"/>
              <w:left w:val="single" w:color="000000" w:sz="8" w:space="0"/>
              <w:bottom w:val="nil"/>
              <w:right w:val="single" w:color="000000" w:sz="8" w:space="0"/>
            </w:tcBorders>
            <w:shd w:val="clear" w:color="auto" w:fill="auto"/>
            <w:vAlign w:val="center"/>
          </w:tcPr>
          <w:p w14:paraId="320B5E0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1000kVA</w:t>
            </w:r>
            <w:r>
              <w:rPr>
                <w:rStyle w:val="5"/>
                <w:lang w:val="en-US" w:eastAsia="zh-CN" w:bidi="ar"/>
              </w:rPr>
              <w:t>、</w:t>
            </w:r>
            <w:r>
              <w:rPr>
                <w:rStyle w:val="6"/>
                <w:rFonts w:eastAsia="宋体"/>
                <w:lang w:val="en-US" w:eastAsia="zh-CN" w:bidi="ar"/>
              </w:rPr>
              <w:t>800kVA</w:t>
            </w:r>
            <w:r>
              <w:rPr>
                <w:rStyle w:val="5"/>
                <w:lang w:val="en-US" w:eastAsia="zh-CN" w:bidi="ar"/>
              </w:rPr>
              <w:t>、</w:t>
            </w:r>
          </w:p>
        </w:tc>
        <w:tc>
          <w:tcPr>
            <w:tcW w:w="4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3CBE2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49C488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70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AC04E9A">
            <w:pPr>
              <w:jc w:val="center"/>
              <w:rPr>
                <w:rFonts w:hint="default" w:ascii="Times New Roman" w:hAnsi="Times New Roman" w:eastAsia="宋体" w:cs="Times New Roman"/>
                <w:i w:val="0"/>
                <w:iCs w:val="0"/>
                <w:color w:val="000000"/>
                <w:sz w:val="21"/>
                <w:szCs w:val="21"/>
                <w:u w:val="none"/>
              </w:rPr>
            </w:pPr>
          </w:p>
        </w:tc>
        <w:tc>
          <w:tcPr>
            <w:tcW w:w="70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9014424">
            <w:pPr>
              <w:jc w:val="center"/>
              <w:rPr>
                <w:rFonts w:hint="default" w:ascii="Times New Roman" w:hAnsi="Times New Roman" w:eastAsia="宋体" w:cs="Times New Roman"/>
                <w:i w:val="0"/>
                <w:iCs w:val="0"/>
                <w:color w:val="000000"/>
                <w:sz w:val="21"/>
                <w:szCs w:val="21"/>
                <w:u w:val="none"/>
              </w:rPr>
            </w:pPr>
          </w:p>
        </w:tc>
        <w:tc>
          <w:tcPr>
            <w:tcW w:w="3315" w:type="dxa"/>
            <w:tcBorders>
              <w:top w:val="single" w:color="000000" w:sz="8" w:space="0"/>
              <w:left w:val="single" w:color="000000" w:sz="8" w:space="0"/>
              <w:bottom w:val="nil"/>
              <w:right w:val="single" w:color="000000" w:sz="8" w:space="0"/>
            </w:tcBorders>
            <w:shd w:val="clear" w:color="auto" w:fill="auto"/>
            <w:vAlign w:val="center"/>
          </w:tcPr>
          <w:p w14:paraId="75C6B0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1、对所有用电设备进行安全用电检查（螺丝、桩头、指示、开关状态、外观、电压、电流、功率因数等</w:t>
            </w:r>
          </w:p>
        </w:tc>
      </w:tr>
      <w:tr w14:paraId="7E8BA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vMerge w:val="continue"/>
            <w:tcBorders>
              <w:top w:val="nil"/>
              <w:left w:val="single" w:color="000000" w:sz="8" w:space="0"/>
              <w:bottom w:val="single" w:color="000000" w:sz="8" w:space="0"/>
              <w:right w:val="single" w:color="000000" w:sz="8" w:space="0"/>
            </w:tcBorders>
            <w:shd w:val="clear" w:color="auto" w:fill="auto"/>
            <w:vAlign w:val="center"/>
          </w:tcPr>
          <w:p w14:paraId="76F0CF0E">
            <w:pPr>
              <w:jc w:val="center"/>
              <w:rPr>
                <w:rFonts w:hint="default" w:ascii="Times New Roman" w:hAnsi="Times New Roman" w:eastAsia="宋体" w:cs="Times New Roman"/>
                <w:i w:val="0"/>
                <w:iCs w:val="0"/>
                <w:color w:val="000000"/>
                <w:sz w:val="21"/>
                <w:szCs w:val="21"/>
                <w:u w:val="none"/>
              </w:rPr>
            </w:pPr>
          </w:p>
        </w:tc>
        <w:tc>
          <w:tcPr>
            <w:tcW w:w="10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71A2B8D">
            <w:pPr>
              <w:jc w:val="center"/>
              <w:rPr>
                <w:rFonts w:hint="default" w:ascii="Times New Roman" w:hAnsi="Times New Roman" w:eastAsia="宋体" w:cs="Times New Roman"/>
                <w:i w:val="0"/>
                <w:iCs w:val="0"/>
                <w:color w:val="000000"/>
                <w:sz w:val="21"/>
                <w:szCs w:val="21"/>
                <w:u w:val="none"/>
              </w:rPr>
            </w:pP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2C169FE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500kVA</w:t>
            </w:r>
          </w:p>
        </w:tc>
        <w:tc>
          <w:tcPr>
            <w:tcW w:w="4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3CDFE75">
            <w:pPr>
              <w:jc w:val="center"/>
              <w:rPr>
                <w:rFonts w:hint="eastAsia" w:ascii="宋体" w:hAnsi="宋体" w:eastAsia="宋体" w:cs="宋体"/>
                <w:i w:val="0"/>
                <w:iCs w:val="0"/>
                <w:color w:val="000000"/>
                <w:sz w:val="21"/>
                <w:szCs w:val="21"/>
                <w:u w:val="none"/>
              </w:rPr>
            </w:pPr>
          </w:p>
        </w:tc>
        <w:tc>
          <w:tcPr>
            <w:tcW w:w="4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A3A75BA">
            <w:pPr>
              <w:jc w:val="center"/>
              <w:rPr>
                <w:rFonts w:hint="default" w:ascii="Times New Roman" w:hAnsi="Times New Roman" w:eastAsia="宋体" w:cs="Times New Roman"/>
                <w:i w:val="0"/>
                <w:iCs w:val="0"/>
                <w:color w:val="000000"/>
                <w:sz w:val="21"/>
                <w:szCs w:val="21"/>
                <w:u w:val="none"/>
              </w:rPr>
            </w:pPr>
          </w:p>
        </w:tc>
        <w:tc>
          <w:tcPr>
            <w:tcW w:w="7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A60ECCB">
            <w:pPr>
              <w:jc w:val="center"/>
              <w:rPr>
                <w:rFonts w:hint="default" w:ascii="Times New Roman" w:hAnsi="Times New Roman" w:eastAsia="宋体" w:cs="Times New Roman"/>
                <w:i w:val="0"/>
                <w:iCs w:val="0"/>
                <w:color w:val="000000"/>
                <w:sz w:val="21"/>
                <w:szCs w:val="21"/>
                <w:u w:val="none"/>
              </w:rPr>
            </w:pPr>
          </w:p>
        </w:tc>
        <w:tc>
          <w:tcPr>
            <w:tcW w:w="7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F488EBD">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nil"/>
              <w:right w:val="single" w:color="000000" w:sz="8" w:space="0"/>
            </w:tcBorders>
            <w:shd w:val="clear" w:color="auto" w:fill="auto"/>
            <w:vAlign w:val="center"/>
          </w:tcPr>
          <w:p w14:paraId="252C9F09">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r>
              <w:rPr>
                <w:rStyle w:val="5"/>
                <w:lang w:val="en-US" w:eastAsia="zh-CN" w:bidi="ar"/>
              </w:rPr>
              <w:t>、对所有用电设备连接处进行红外测</w:t>
            </w:r>
          </w:p>
        </w:tc>
      </w:tr>
      <w:tr w14:paraId="3E392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738BBBE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1423596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高压柜及开关</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12AD970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断路器</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7FBDCF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2BA3740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28D94FE2">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4735F3DB">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nil"/>
              <w:right w:val="single" w:color="000000" w:sz="8" w:space="0"/>
            </w:tcBorders>
            <w:shd w:val="clear" w:color="auto" w:fill="auto"/>
            <w:vAlign w:val="center"/>
          </w:tcPr>
          <w:p w14:paraId="2D2DEAB4">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Style w:val="5"/>
                <w:lang w:val="en-US" w:eastAsia="zh-CN" w:bidi="ar"/>
              </w:rPr>
              <w:t>、目视化环境检查</w:t>
            </w:r>
            <w:r>
              <w:rPr>
                <w:rStyle w:val="6"/>
                <w:rFonts w:eastAsia="宋体"/>
                <w:lang w:val="en-US" w:eastAsia="zh-CN" w:bidi="ar"/>
              </w:rPr>
              <w:t>(</w:t>
            </w:r>
            <w:r>
              <w:rPr>
                <w:rStyle w:val="5"/>
                <w:lang w:val="en-US" w:eastAsia="zh-CN" w:bidi="ar"/>
              </w:rPr>
              <w:t>卫生、标识牌、有无异味、照明等）</w:t>
            </w:r>
          </w:p>
        </w:tc>
      </w:tr>
      <w:tr w14:paraId="21DE5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5E579F0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40089E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低压柜</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4D8D5D5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0.4KV</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12E2D6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01FEAE9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61392792">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1DCD82F4">
            <w:pPr>
              <w:jc w:val="center"/>
              <w:rPr>
                <w:rFonts w:hint="default" w:ascii="Times New Roman" w:hAnsi="Times New Roman" w:eastAsia="宋体" w:cs="Times New Roman"/>
                <w:i w:val="0"/>
                <w:iCs w:val="0"/>
                <w:color w:val="000000"/>
                <w:sz w:val="21"/>
                <w:szCs w:val="21"/>
                <w:u w:val="none"/>
              </w:rPr>
            </w:pP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5D544244">
            <w:pPr>
              <w:rPr>
                <w:rFonts w:hint="eastAsia" w:ascii="宋体" w:hAnsi="宋体" w:eastAsia="宋体" w:cs="宋体"/>
                <w:i w:val="0"/>
                <w:iCs w:val="0"/>
                <w:color w:val="000000"/>
                <w:sz w:val="22"/>
                <w:szCs w:val="22"/>
                <w:u w:val="none"/>
              </w:rPr>
            </w:pPr>
          </w:p>
        </w:tc>
      </w:tr>
      <w:tr w14:paraId="33293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8715" w:type="dxa"/>
            <w:gridSpan w:val="8"/>
            <w:tcBorders>
              <w:top w:val="nil"/>
              <w:left w:val="single" w:color="000000" w:sz="8" w:space="0"/>
              <w:bottom w:val="single" w:color="000000" w:sz="8" w:space="0"/>
              <w:right w:val="single" w:color="000000" w:sz="8" w:space="0"/>
            </w:tcBorders>
            <w:shd w:val="clear" w:color="auto" w:fill="auto"/>
            <w:vAlign w:val="center"/>
          </w:tcPr>
          <w:p w14:paraId="369ECF9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中北学院4号配电房运维明细（美术楼西侧）</w:t>
            </w:r>
          </w:p>
        </w:tc>
      </w:tr>
      <w:tr w14:paraId="7288C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5655998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10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1C37FC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变压器</w:t>
            </w:r>
          </w:p>
        </w:tc>
        <w:tc>
          <w:tcPr>
            <w:tcW w:w="14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ED8954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1000kVA</w:t>
            </w:r>
            <w:r>
              <w:rPr>
                <w:rStyle w:val="5"/>
                <w:lang w:val="en-US" w:eastAsia="zh-CN" w:bidi="ar"/>
              </w:rPr>
              <w:t>、</w:t>
            </w:r>
            <w:r>
              <w:rPr>
                <w:rStyle w:val="6"/>
                <w:rFonts w:eastAsia="宋体"/>
                <w:lang w:val="en-US" w:eastAsia="zh-CN" w:bidi="ar"/>
              </w:rPr>
              <w:t>400kVA</w:t>
            </w:r>
          </w:p>
        </w:tc>
        <w:tc>
          <w:tcPr>
            <w:tcW w:w="4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FB9A6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5348E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7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CA1059">
            <w:pPr>
              <w:jc w:val="center"/>
              <w:rPr>
                <w:rFonts w:hint="default" w:ascii="Times New Roman" w:hAnsi="Times New Roman" w:eastAsia="宋体" w:cs="Times New Roman"/>
                <w:i w:val="0"/>
                <w:iCs w:val="0"/>
                <w:color w:val="000000"/>
                <w:sz w:val="21"/>
                <w:szCs w:val="21"/>
                <w:u w:val="none"/>
              </w:rPr>
            </w:pPr>
          </w:p>
        </w:tc>
        <w:tc>
          <w:tcPr>
            <w:tcW w:w="7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C91D7BE">
            <w:pPr>
              <w:jc w:val="center"/>
              <w:rPr>
                <w:rFonts w:hint="default" w:ascii="Times New Roman" w:hAnsi="Times New Roman" w:eastAsia="宋体" w:cs="Times New Roman"/>
                <w:i w:val="0"/>
                <w:iCs w:val="0"/>
                <w:color w:val="000000"/>
                <w:sz w:val="21"/>
                <w:szCs w:val="21"/>
                <w:u w:val="none"/>
              </w:rPr>
            </w:pPr>
          </w:p>
        </w:tc>
        <w:tc>
          <w:tcPr>
            <w:tcW w:w="3315" w:type="dxa"/>
            <w:tcBorders>
              <w:top w:val="single" w:color="000000" w:sz="8" w:space="0"/>
              <w:left w:val="single" w:color="000000" w:sz="8" w:space="0"/>
              <w:bottom w:val="nil"/>
              <w:right w:val="single" w:color="000000" w:sz="8" w:space="0"/>
            </w:tcBorders>
            <w:shd w:val="clear" w:color="auto" w:fill="auto"/>
            <w:vAlign w:val="center"/>
          </w:tcPr>
          <w:p w14:paraId="4BDFA6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r>
              <w:rPr>
                <w:rStyle w:val="5"/>
                <w:lang w:val="en-US" w:eastAsia="zh-CN" w:bidi="ar"/>
              </w:rPr>
              <w:t>对所有用电设备进行安全用电检查（螺丝、桩头、指示、开关状态、外观、电压、电流、功率因数等</w:t>
            </w:r>
          </w:p>
        </w:tc>
      </w:tr>
      <w:tr w14:paraId="4F69D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320FA1F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69518B8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高压柜及开关</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3404F52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断路器</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07A8B5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371E463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05071CFD">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50A07DD8">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nil"/>
              <w:right w:val="single" w:color="000000" w:sz="8" w:space="0"/>
            </w:tcBorders>
            <w:shd w:val="clear" w:color="auto" w:fill="auto"/>
            <w:vAlign w:val="center"/>
          </w:tcPr>
          <w:p w14:paraId="37AB196C">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r>
              <w:rPr>
                <w:rStyle w:val="5"/>
                <w:lang w:val="en-US" w:eastAsia="zh-CN" w:bidi="ar"/>
              </w:rPr>
              <w:t>、对所有用电设备连接处进行红外测</w:t>
            </w:r>
          </w:p>
        </w:tc>
      </w:tr>
      <w:tr w14:paraId="1780E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79CA6E4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59C4C8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低压柜</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2353E72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0.4KV</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26CB6E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1E8A59D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0C7834C0">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6C1592BF">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single" w:color="000000" w:sz="8" w:space="0"/>
              <w:right w:val="single" w:color="000000" w:sz="8" w:space="0"/>
            </w:tcBorders>
            <w:shd w:val="clear" w:color="auto" w:fill="auto"/>
            <w:vAlign w:val="center"/>
          </w:tcPr>
          <w:p w14:paraId="5AFF1D29">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Style w:val="5"/>
                <w:lang w:val="en-US" w:eastAsia="zh-CN" w:bidi="ar"/>
              </w:rPr>
              <w:t>、目视化环境检查</w:t>
            </w:r>
            <w:r>
              <w:rPr>
                <w:rStyle w:val="6"/>
                <w:rFonts w:eastAsia="宋体"/>
                <w:lang w:val="en-US" w:eastAsia="zh-CN" w:bidi="ar"/>
              </w:rPr>
              <w:t>(</w:t>
            </w:r>
            <w:r>
              <w:rPr>
                <w:rStyle w:val="5"/>
                <w:lang w:val="en-US" w:eastAsia="zh-CN" w:bidi="ar"/>
              </w:rPr>
              <w:t>卫生、标识牌、有无异味、照明等）</w:t>
            </w:r>
          </w:p>
        </w:tc>
      </w:tr>
      <w:tr w14:paraId="68429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8715" w:type="dxa"/>
            <w:gridSpan w:val="8"/>
            <w:tcBorders>
              <w:top w:val="nil"/>
              <w:left w:val="single" w:color="000000" w:sz="8" w:space="0"/>
              <w:bottom w:val="single" w:color="000000" w:sz="8" w:space="0"/>
              <w:right w:val="single" w:color="000000" w:sz="8" w:space="0"/>
            </w:tcBorders>
            <w:shd w:val="clear" w:color="auto" w:fill="auto"/>
            <w:vAlign w:val="center"/>
          </w:tcPr>
          <w:p w14:paraId="1A7C065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中北学院5号配电房运维明细（理工b东侧）</w:t>
            </w:r>
          </w:p>
        </w:tc>
      </w:tr>
      <w:tr w14:paraId="4EA9F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09100F9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10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B86F7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变压器</w:t>
            </w:r>
          </w:p>
        </w:tc>
        <w:tc>
          <w:tcPr>
            <w:tcW w:w="14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4E070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1600kVA</w:t>
            </w:r>
            <w:r>
              <w:rPr>
                <w:rStyle w:val="5"/>
                <w:lang w:val="en-US" w:eastAsia="zh-CN" w:bidi="ar"/>
              </w:rPr>
              <w:t>、</w:t>
            </w:r>
            <w:r>
              <w:rPr>
                <w:rStyle w:val="6"/>
                <w:rFonts w:eastAsia="宋体"/>
                <w:lang w:val="en-US" w:eastAsia="zh-CN" w:bidi="ar"/>
              </w:rPr>
              <w:t>315kVA</w:t>
            </w:r>
          </w:p>
        </w:tc>
        <w:tc>
          <w:tcPr>
            <w:tcW w:w="4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74037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1A89B7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7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5E727E">
            <w:pPr>
              <w:jc w:val="center"/>
              <w:rPr>
                <w:rFonts w:hint="default" w:ascii="Times New Roman" w:hAnsi="Times New Roman" w:eastAsia="宋体" w:cs="Times New Roman"/>
                <w:i w:val="0"/>
                <w:iCs w:val="0"/>
                <w:color w:val="000000"/>
                <w:sz w:val="21"/>
                <w:szCs w:val="21"/>
                <w:u w:val="none"/>
              </w:rPr>
            </w:pPr>
          </w:p>
        </w:tc>
        <w:tc>
          <w:tcPr>
            <w:tcW w:w="7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8C729D">
            <w:pPr>
              <w:jc w:val="center"/>
              <w:rPr>
                <w:rFonts w:hint="default" w:ascii="Times New Roman" w:hAnsi="Times New Roman" w:eastAsia="宋体" w:cs="Times New Roman"/>
                <w:i w:val="0"/>
                <w:iCs w:val="0"/>
                <w:color w:val="000000"/>
                <w:sz w:val="21"/>
                <w:szCs w:val="21"/>
                <w:u w:val="none"/>
              </w:rPr>
            </w:pPr>
          </w:p>
        </w:tc>
        <w:tc>
          <w:tcPr>
            <w:tcW w:w="3315" w:type="dxa"/>
            <w:tcBorders>
              <w:top w:val="single" w:color="000000" w:sz="8" w:space="0"/>
              <w:left w:val="single" w:color="000000" w:sz="8" w:space="0"/>
              <w:bottom w:val="nil"/>
              <w:right w:val="single" w:color="000000" w:sz="8" w:space="0"/>
            </w:tcBorders>
            <w:shd w:val="clear" w:color="auto" w:fill="auto"/>
            <w:vAlign w:val="center"/>
          </w:tcPr>
          <w:p w14:paraId="55B95B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r>
              <w:rPr>
                <w:rStyle w:val="5"/>
                <w:lang w:val="en-US" w:eastAsia="zh-CN" w:bidi="ar"/>
              </w:rPr>
              <w:t>对所有用电设备进行安全用电检查（螺丝、桩头、指示、开关状态、外观、电压、电流、功率因数等</w:t>
            </w:r>
          </w:p>
        </w:tc>
      </w:tr>
      <w:tr w14:paraId="723A9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7814F01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6AAFF3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高压柜及开关</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3D9296F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断路器</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1E018B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4109DB4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7AD06FFD">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5725E756">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nil"/>
              <w:right w:val="single" w:color="000000" w:sz="8" w:space="0"/>
            </w:tcBorders>
            <w:shd w:val="clear" w:color="auto" w:fill="auto"/>
            <w:vAlign w:val="center"/>
          </w:tcPr>
          <w:p w14:paraId="1717C53E">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r>
              <w:rPr>
                <w:rStyle w:val="5"/>
                <w:lang w:val="en-US" w:eastAsia="zh-CN" w:bidi="ar"/>
              </w:rPr>
              <w:t>、对所有用电设备连接处进行红外测</w:t>
            </w:r>
          </w:p>
        </w:tc>
      </w:tr>
      <w:tr w14:paraId="010EA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443F5B5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1F4C99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低压柜</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18880C4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0.4KV</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20883A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22BF5C2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0AE29F99">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404CD826">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single" w:color="000000" w:sz="8" w:space="0"/>
              <w:right w:val="single" w:color="000000" w:sz="8" w:space="0"/>
            </w:tcBorders>
            <w:shd w:val="clear" w:color="auto" w:fill="auto"/>
            <w:vAlign w:val="center"/>
          </w:tcPr>
          <w:p w14:paraId="63FBEC70">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Style w:val="5"/>
                <w:lang w:val="en-US" w:eastAsia="zh-CN" w:bidi="ar"/>
              </w:rPr>
              <w:t>、目视化环境检查</w:t>
            </w:r>
            <w:r>
              <w:rPr>
                <w:rStyle w:val="6"/>
                <w:rFonts w:eastAsia="宋体"/>
                <w:lang w:val="en-US" w:eastAsia="zh-CN" w:bidi="ar"/>
              </w:rPr>
              <w:t>(</w:t>
            </w:r>
            <w:r>
              <w:rPr>
                <w:rStyle w:val="5"/>
                <w:lang w:val="en-US" w:eastAsia="zh-CN" w:bidi="ar"/>
              </w:rPr>
              <w:t>卫生、标识牌、有无异味、照明等）</w:t>
            </w:r>
          </w:p>
        </w:tc>
      </w:tr>
      <w:tr w14:paraId="2EBD6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8715" w:type="dxa"/>
            <w:gridSpan w:val="8"/>
            <w:tcBorders>
              <w:top w:val="nil"/>
              <w:left w:val="single" w:color="000000" w:sz="8" w:space="0"/>
              <w:bottom w:val="single" w:color="000000" w:sz="8" w:space="0"/>
              <w:right w:val="single" w:color="000000" w:sz="8" w:space="0"/>
            </w:tcBorders>
            <w:shd w:val="clear" w:color="auto" w:fill="auto"/>
            <w:vAlign w:val="center"/>
          </w:tcPr>
          <w:p w14:paraId="38D714A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中北学院6号配电房运维明细（北苑食堂南侧）</w:t>
            </w:r>
          </w:p>
        </w:tc>
      </w:tr>
      <w:tr w14:paraId="60D65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495" w:type="dxa"/>
            <w:vMerge w:val="restart"/>
            <w:tcBorders>
              <w:top w:val="nil"/>
              <w:left w:val="single" w:color="000000" w:sz="8" w:space="0"/>
              <w:bottom w:val="single" w:color="000000" w:sz="8" w:space="0"/>
              <w:right w:val="single" w:color="000000" w:sz="8" w:space="0"/>
            </w:tcBorders>
            <w:shd w:val="clear" w:color="auto" w:fill="auto"/>
            <w:vAlign w:val="center"/>
          </w:tcPr>
          <w:p w14:paraId="4AB2E39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10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D20E12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变压器</w:t>
            </w:r>
          </w:p>
        </w:tc>
        <w:tc>
          <w:tcPr>
            <w:tcW w:w="1410" w:type="dxa"/>
            <w:tcBorders>
              <w:top w:val="single" w:color="000000" w:sz="8" w:space="0"/>
              <w:left w:val="single" w:color="000000" w:sz="8" w:space="0"/>
              <w:bottom w:val="nil"/>
              <w:right w:val="single" w:color="000000" w:sz="8" w:space="0"/>
            </w:tcBorders>
            <w:shd w:val="clear" w:color="auto" w:fill="auto"/>
            <w:vAlign w:val="center"/>
          </w:tcPr>
          <w:p w14:paraId="5968468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1000kVA</w:t>
            </w:r>
            <w:r>
              <w:rPr>
                <w:rStyle w:val="5"/>
                <w:lang w:val="en-US" w:eastAsia="zh-CN" w:bidi="ar"/>
              </w:rPr>
              <w:t>、</w:t>
            </w:r>
            <w:r>
              <w:rPr>
                <w:rStyle w:val="6"/>
                <w:rFonts w:eastAsia="宋体"/>
                <w:lang w:val="en-US" w:eastAsia="zh-CN" w:bidi="ar"/>
              </w:rPr>
              <w:t>1250kVA</w:t>
            </w:r>
            <w:r>
              <w:rPr>
                <w:rStyle w:val="5"/>
                <w:lang w:val="en-US" w:eastAsia="zh-CN" w:bidi="ar"/>
              </w:rPr>
              <w:t>、</w:t>
            </w:r>
          </w:p>
        </w:tc>
        <w:tc>
          <w:tcPr>
            <w:tcW w:w="4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120D8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F38B69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70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5DB888A">
            <w:pPr>
              <w:jc w:val="center"/>
              <w:rPr>
                <w:rFonts w:hint="default" w:ascii="Times New Roman" w:hAnsi="Times New Roman" w:eastAsia="宋体" w:cs="Times New Roman"/>
                <w:i w:val="0"/>
                <w:iCs w:val="0"/>
                <w:color w:val="000000"/>
                <w:sz w:val="21"/>
                <w:szCs w:val="21"/>
                <w:u w:val="none"/>
              </w:rPr>
            </w:pPr>
          </w:p>
        </w:tc>
        <w:tc>
          <w:tcPr>
            <w:tcW w:w="70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B742909">
            <w:pPr>
              <w:jc w:val="center"/>
              <w:rPr>
                <w:rFonts w:hint="default" w:ascii="Times New Roman" w:hAnsi="Times New Roman" w:eastAsia="宋体" w:cs="Times New Roman"/>
                <w:i w:val="0"/>
                <w:iCs w:val="0"/>
                <w:color w:val="000000"/>
                <w:sz w:val="21"/>
                <w:szCs w:val="21"/>
                <w:u w:val="none"/>
              </w:rPr>
            </w:pPr>
          </w:p>
        </w:tc>
        <w:tc>
          <w:tcPr>
            <w:tcW w:w="3315" w:type="dxa"/>
            <w:tcBorders>
              <w:top w:val="single" w:color="000000" w:sz="8" w:space="0"/>
              <w:left w:val="single" w:color="000000" w:sz="8" w:space="0"/>
              <w:bottom w:val="nil"/>
              <w:right w:val="single" w:color="000000" w:sz="8" w:space="0"/>
            </w:tcBorders>
            <w:shd w:val="clear" w:color="auto" w:fill="auto"/>
            <w:vAlign w:val="center"/>
          </w:tcPr>
          <w:p w14:paraId="4F7E7E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r>
              <w:rPr>
                <w:rStyle w:val="5"/>
                <w:lang w:val="en-US" w:eastAsia="zh-CN" w:bidi="ar"/>
              </w:rPr>
              <w:t>对所有用电设备进行安全用电检查（螺丝、桩头、指示、开关状态、外观、电压、电流、功率因数等</w:t>
            </w:r>
          </w:p>
        </w:tc>
      </w:tr>
      <w:tr w14:paraId="1663A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vMerge w:val="continue"/>
            <w:tcBorders>
              <w:top w:val="nil"/>
              <w:left w:val="single" w:color="000000" w:sz="8" w:space="0"/>
              <w:bottom w:val="single" w:color="000000" w:sz="8" w:space="0"/>
              <w:right w:val="single" w:color="000000" w:sz="8" w:space="0"/>
            </w:tcBorders>
            <w:shd w:val="clear" w:color="auto" w:fill="auto"/>
            <w:vAlign w:val="center"/>
          </w:tcPr>
          <w:p w14:paraId="0CFD7481">
            <w:pPr>
              <w:jc w:val="center"/>
              <w:rPr>
                <w:rFonts w:hint="default" w:ascii="Times New Roman" w:hAnsi="Times New Roman" w:eastAsia="宋体" w:cs="Times New Roman"/>
                <w:i w:val="0"/>
                <w:iCs w:val="0"/>
                <w:color w:val="000000"/>
                <w:sz w:val="21"/>
                <w:szCs w:val="21"/>
                <w:u w:val="none"/>
              </w:rPr>
            </w:pPr>
          </w:p>
        </w:tc>
        <w:tc>
          <w:tcPr>
            <w:tcW w:w="10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26F8A1B">
            <w:pPr>
              <w:jc w:val="center"/>
              <w:rPr>
                <w:rFonts w:hint="default" w:ascii="Times New Roman" w:hAnsi="Times New Roman" w:eastAsia="宋体" w:cs="Times New Roman"/>
                <w:i w:val="0"/>
                <w:iCs w:val="0"/>
                <w:color w:val="000000"/>
                <w:sz w:val="21"/>
                <w:szCs w:val="21"/>
                <w:u w:val="none"/>
              </w:rPr>
            </w:pP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45F2FFF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1250kVA</w:t>
            </w:r>
          </w:p>
        </w:tc>
        <w:tc>
          <w:tcPr>
            <w:tcW w:w="4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DDD4D64">
            <w:pPr>
              <w:jc w:val="center"/>
              <w:rPr>
                <w:rFonts w:hint="eastAsia" w:ascii="宋体" w:hAnsi="宋体" w:eastAsia="宋体" w:cs="宋体"/>
                <w:i w:val="0"/>
                <w:iCs w:val="0"/>
                <w:color w:val="000000"/>
                <w:sz w:val="21"/>
                <w:szCs w:val="21"/>
                <w:u w:val="none"/>
              </w:rPr>
            </w:pPr>
          </w:p>
        </w:tc>
        <w:tc>
          <w:tcPr>
            <w:tcW w:w="4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4D52D3D">
            <w:pPr>
              <w:jc w:val="center"/>
              <w:rPr>
                <w:rFonts w:hint="default" w:ascii="Times New Roman" w:hAnsi="Times New Roman" w:eastAsia="宋体" w:cs="Times New Roman"/>
                <w:i w:val="0"/>
                <w:iCs w:val="0"/>
                <w:color w:val="000000"/>
                <w:sz w:val="21"/>
                <w:szCs w:val="21"/>
                <w:u w:val="none"/>
              </w:rPr>
            </w:pPr>
          </w:p>
        </w:tc>
        <w:tc>
          <w:tcPr>
            <w:tcW w:w="7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540043C">
            <w:pPr>
              <w:jc w:val="center"/>
              <w:rPr>
                <w:rFonts w:hint="default" w:ascii="Times New Roman" w:hAnsi="Times New Roman" w:eastAsia="宋体" w:cs="Times New Roman"/>
                <w:i w:val="0"/>
                <w:iCs w:val="0"/>
                <w:color w:val="000000"/>
                <w:sz w:val="21"/>
                <w:szCs w:val="21"/>
                <w:u w:val="none"/>
              </w:rPr>
            </w:pPr>
          </w:p>
        </w:tc>
        <w:tc>
          <w:tcPr>
            <w:tcW w:w="7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B27CAA6">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nil"/>
              <w:right w:val="single" w:color="000000" w:sz="8" w:space="0"/>
            </w:tcBorders>
            <w:shd w:val="clear" w:color="auto" w:fill="auto"/>
            <w:vAlign w:val="center"/>
          </w:tcPr>
          <w:p w14:paraId="242AE4F2">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r>
              <w:rPr>
                <w:rStyle w:val="5"/>
                <w:lang w:val="en-US" w:eastAsia="zh-CN" w:bidi="ar"/>
              </w:rPr>
              <w:t>、对所有用电设备连接处进行红外测</w:t>
            </w:r>
          </w:p>
        </w:tc>
      </w:tr>
      <w:tr w14:paraId="53282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3DE1B1D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1C95ECC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高压柜及开关</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73816B4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断路器</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5A3FC0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20B6DC2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134B0AD2">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46C16CED">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nil"/>
              <w:right w:val="single" w:color="000000" w:sz="8" w:space="0"/>
            </w:tcBorders>
            <w:shd w:val="clear" w:color="auto" w:fill="auto"/>
            <w:vAlign w:val="center"/>
          </w:tcPr>
          <w:p w14:paraId="57A97A68">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Style w:val="5"/>
                <w:lang w:val="en-US" w:eastAsia="zh-CN" w:bidi="ar"/>
              </w:rPr>
              <w:t>、目视化环境检查</w:t>
            </w:r>
            <w:r>
              <w:rPr>
                <w:rStyle w:val="6"/>
                <w:rFonts w:eastAsia="宋体"/>
                <w:lang w:val="en-US" w:eastAsia="zh-CN" w:bidi="ar"/>
              </w:rPr>
              <w:t>(</w:t>
            </w:r>
            <w:r>
              <w:rPr>
                <w:rStyle w:val="5"/>
                <w:lang w:val="en-US" w:eastAsia="zh-CN" w:bidi="ar"/>
              </w:rPr>
              <w:t>卫生、标识牌、有无异味、照明等）</w:t>
            </w:r>
          </w:p>
        </w:tc>
      </w:tr>
      <w:tr w14:paraId="7FEC8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072A61D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74E405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低压柜</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1CAF46A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0.4KV</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223151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754B929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74A08C26">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4D7AACC8">
            <w:pPr>
              <w:jc w:val="center"/>
              <w:rPr>
                <w:rFonts w:hint="default" w:ascii="Times New Roman" w:hAnsi="Times New Roman" w:eastAsia="宋体" w:cs="Times New Roman"/>
                <w:i w:val="0"/>
                <w:iCs w:val="0"/>
                <w:color w:val="000000"/>
                <w:sz w:val="21"/>
                <w:szCs w:val="21"/>
                <w:u w:val="none"/>
              </w:rPr>
            </w:pP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742169F0">
            <w:pPr>
              <w:rPr>
                <w:rFonts w:hint="eastAsia" w:ascii="宋体" w:hAnsi="宋体" w:eastAsia="宋体" w:cs="宋体"/>
                <w:i w:val="0"/>
                <w:iCs w:val="0"/>
                <w:color w:val="000000"/>
                <w:sz w:val="22"/>
                <w:szCs w:val="22"/>
                <w:u w:val="none"/>
              </w:rPr>
            </w:pPr>
          </w:p>
        </w:tc>
      </w:tr>
      <w:tr w14:paraId="4DF90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8715" w:type="dxa"/>
            <w:gridSpan w:val="8"/>
            <w:tcBorders>
              <w:top w:val="nil"/>
              <w:left w:val="single" w:color="000000" w:sz="8" w:space="0"/>
              <w:bottom w:val="single" w:color="000000" w:sz="8" w:space="0"/>
              <w:right w:val="single" w:color="000000" w:sz="8" w:space="0"/>
            </w:tcBorders>
            <w:shd w:val="clear" w:color="auto" w:fill="auto"/>
            <w:vAlign w:val="center"/>
          </w:tcPr>
          <w:p w14:paraId="249B27B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中北学院7号配电房运维明细（7号公寓庭院）</w:t>
            </w:r>
          </w:p>
        </w:tc>
      </w:tr>
      <w:tr w14:paraId="251D6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495" w:type="dxa"/>
            <w:vMerge w:val="restart"/>
            <w:tcBorders>
              <w:top w:val="nil"/>
              <w:left w:val="single" w:color="000000" w:sz="8" w:space="0"/>
              <w:bottom w:val="single" w:color="000000" w:sz="8" w:space="0"/>
              <w:right w:val="single" w:color="000000" w:sz="8" w:space="0"/>
            </w:tcBorders>
            <w:shd w:val="clear" w:color="auto" w:fill="auto"/>
            <w:vAlign w:val="center"/>
          </w:tcPr>
          <w:p w14:paraId="2ACCEC6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10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8A2D81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变压器</w:t>
            </w:r>
          </w:p>
        </w:tc>
        <w:tc>
          <w:tcPr>
            <w:tcW w:w="1410" w:type="dxa"/>
            <w:tcBorders>
              <w:top w:val="single" w:color="000000" w:sz="8" w:space="0"/>
              <w:left w:val="single" w:color="000000" w:sz="8" w:space="0"/>
              <w:bottom w:val="nil"/>
              <w:right w:val="single" w:color="000000" w:sz="8" w:space="0"/>
            </w:tcBorders>
            <w:shd w:val="clear" w:color="auto" w:fill="auto"/>
            <w:vAlign w:val="center"/>
          </w:tcPr>
          <w:p w14:paraId="2A123D7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1250kVA</w:t>
            </w:r>
            <w:r>
              <w:rPr>
                <w:rStyle w:val="5"/>
                <w:lang w:val="en-US" w:eastAsia="zh-CN" w:bidi="ar"/>
              </w:rPr>
              <w:t>、</w:t>
            </w:r>
            <w:r>
              <w:rPr>
                <w:rStyle w:val="6"/>
                <w:rFonts w:eastAsia="宋体"/>
                <w:lang w:val="en-US" w:eastAsia="zh-CN" w:bidi="ar"/>
              </w:rPr>
              <w:t>1250kVA</w:t>
            </w:r>
            <w:r>
              <w:rPr>
                <w:rStyle w:val="5"/>
                <w:lang w:val="en-US" w:eastAsia="zh-CN" w:bidi="ar"/>
              </w:rPr>
              <w:t>、</w:t>
            </w:r>
          </w:p>
        </w:tc>
        <w:tc>
          <w:tcPr>
            <w:tcW w:w="4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4DDD9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8AE841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70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E39D015">
            <w:pPr>
              <w:jc w:val="center"/>
              <w:rPr>
                <w:rFonts w:hint="default" w:ascii="Times New Roman" w:hAnsi="Times New Roman" w:eastAsia="宋体" w:cs="Times New Roman"/>
                <w:i w:val="0"/>
                <w:iCs w:val="0"/>
                <w:color w:val="000000"/>
                <w:sz w:val="21"/>
                <w:szCs w:val="21"/>
                <w:u w:val="none"/>
              </w:rPr>
            </w:pPr>
          </w:p>
        </w:tc>
        <w:tc>
          <w:tcPr>
            <w:tcW w:w="70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6174791">
            <w:pPr>
              <w:jc w:val="center"/>
              <w:rPr>
                <w:rFonts w:hint="default" w:ascii="Times New Roman" w:hAnsi="Times New Roman" w:eastAsia="宋体" w:cs="Times New Roman"/>
                <w:i w:val="0"/>
                <w:iCs w:val="0"/>
                <w:color w:val="000000"/>
                <w:sz w:val="21"/>
                <w:szCs w:val="21"/>
                <w:u w:val="none"/>
              </w:rPr>
            </w:pPr>
          </w:p>
        </w:tc>
        <w:tc>
          <w:tcPr>
            <w:tcW w:w="3315" w:type="dxa"/>
            <w:tcBorders>
              <w:top w:val="single" w:color="000000" w:sz="8" w:space="0"/>
              <w:left w:val="single" w:color="000000" w:sz="8" w:space="0"/>
              <w:bottom w:val="nil"/>
              <w:right w:val="single" w:color="000000" w:sz="8" w:space="0"/>
            </w:tcBorders>
            <w:shd w:val="clear" w:color="auto" w:fill="auto"/>
            <w:vAlign w:val="center"/>
          </w:tcPr>
          <w:p w14:paraId="67BACD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r>
              <w:rPr>
                <w:rStyle w:val="5"/>
                <w:lang w:val="en-US" w:eastAsia="zh-CN" w:bidi="ar"/>
              </w:rPr>
              <w:t>对所有用电设备进行安全用电检查（螺丝、桩头、指示、开关状态、外观、电压、电流、功率因数等</w:t>
            </w:r>
          </w:p>
        </w:tc>
      </w:tr>
      <w:tr w14:paraId="6E968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vMerge w:val="continue"/>
            <w:tcBorders>
              <w:top w:val="nil"/>
              <w:left w:val="single" w:color="000000" w:sz="8" w:space="0"/>
              <w:bottom w:val="single" w:color="000000" w:sz="8" w:space="0"/>
              <w:right w:val="single" w:color="000000" w:sz="8" w:space="0"/>
            </w:tcBorders>
            <w:shd w:val="clear" w:color="auto" w:fill="auto"/>
            <w:vAlign w:val="center"/>
          </w:tcPr>
          <w:p w14:paraId="4E17071C">
            <w:pPr>
              <w:jc w:val="center"/>
              <w:rPr>
                <w:rFonts w:hint="default" w:ascii="Times New Roman" w:hAnsi="Times New Roman" w:eastAsia="宋体" w:cs="Times New Roman"/>
                <w:i w:val="0"/>
                <w:iCs w:val="0"/>
                <w:color w:val="000000"/>
                <w:sz w:val="21"/>
                <w:szCs w:val="21"/>
                <w:u w:val="none"/>
              </w:rPr>
            </w:pPr>
          </w:p>
        </w:tc>
        <w:tc>
          <w:tcPr>
            <w:tcW w:w="10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9E44ED7">
            <w:pPr>
              <w:jc w:val="center"/>
              <w:rPr>
                <w:rFonts w:hint="default" w:ascii="Times New Roman" w:hAnsi="Times New Roman" w:eastAsia="宋体" w:cs="Times New Roman"/>
                <w:i w:val="0"/>
                <w:iCs w:val="0"/>
                <w:color w:val="000000"/>
                <w:sz w:val="21"/>
                <w:szCs w:val="21"/>
                <w:u w:val="none"/>
              </w:rPr>
            </w:pP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116265C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500kVA</w:t>
            </w:r>
          </w:p>
        </w:tc>
        <w:tc>
          <w:tcPr>
            <w:tcW w:w="4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1288C1A">
            <w:pPr>
              <w:jc w:val="center"/>
              <w:rPr>
                <w:rFonts w:hint="eastAsia" w:ascii="宋体" w:hAnsi="宋体" w:eastAsia="宋体" w:cs="宋体"/>
                <w:i w:val="0"/>
                <w:iCs w:val="0"/>
                <w:color w:val="000000"/>
                <w:sz w:val="21"/>
                <w:szCs w:val="21"/>
                <w:u w:val="none"/>
              </w:rPr>
            </w:pPr>
          </w:p>
        </w:tc>
        <w:tc>
          <w:tcPr>
            <w:tcW w:w="4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809C974">
            <w:pPr>
              <w:jc w:val="center"/>
              <w:rPr>
                <w:rFonts w:hint="default" w:ascii="Times New Roman" w:hAnsi="Times New Roman" w:eastAsia="宋体" w:cs="Times New Roman"/>
                <w:i w:val="0"/>
                <w:iCs w:val="0"/>
                <w:color w:val="000000"/>
                <w:sz w:val="21"/>
                <w:szCs w:val="21"/>
                <w:u w:val="none"/>
              </w:rPr>
            </w:pPr>
          </w:p>
        </w:tc>
        <w:tc>
          <w:tcPr>
            <w:tcW w:w="7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5990210">
            <w:pPr>
              <w:jc w:val="center"/>
              <w:rPr>
                <w:rFonts w:hint="default" w:ascii="Times New Roman" w:hAnsi="Times New Roman" w:eastAsia="宋体" w:cs="Times New Roman"/>
                <w:i w:val="0"/>
                <w:iCs w:val="0"/>
                <w:color w:val="000000"/>
                <w:sz w:val="21"/>
                <w:szCs w:val="21"/>
                <w:u w:val="none"/>
              </w:rPr>
            </w:pPr>
          </w:p>
        </w:tc>
        <w:tc>
          <w:tcPr>
            <w:tcW w:w="70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CC587AD">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nil"/>
              <w:right w:val="single" w:color="000000" w:sz="8" w:space="0"/>
            </w:tcBorders>
            <w:shd w:val="clear" w:color="auto" w:fill="auto"/>
            <w:vAlign w:val="center"/>
          </w:tcPr>
          <w:p w14:paraId="573D0FF9">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r>
              <w:rPr>
                <w:rStyle w:val="5"/>
                <w:lang w:val="en-US" w:eastAsia="zh-CN" w:bidi="ar"/>
              </w:rPr>
              <w:t>、对所有用电设备连接处进行红外测</w:t>
            </w:r>
          </w:p>
        </w:tc>
      </w:tr>
      <w:tr w14:paraId="6FBBE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17D6CFB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3F58DFF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高压柜及开关</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461A651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断路器</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60B6FF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6C1D7ED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03FF0165">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0590AD37">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nil"/>
              <w:right w:val="single" w:color="000000" w:sz="8" w:space="0"/>
            </w:tcBorders>
            <w:shd w:val="clear" w:color="auto" w:fill="auto"/>
            <w:vAlign w:val="center"/>
          </w:tcPr>
          <w:p w14:paraId="4F67A26A">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Style w:val="5"/>
                <w:lang w:val="en-US" w:eastAsia="zh-CN" w:bidi="ar"/>
              </w:rPr>
              <w:t>、目视化环境检查</w:t>
            </w:r>
            <w:r>
              <w:rPr>
                <w:rStyle w:val="6"/>
                <w:rFonts w:eastAsia="宋体"/>
                <w:lang w:val="en-US" w:eastAsia="zh-CN" w:bidi="ar"/>
              </w:rPr>
              <w:t>(</w:t>
            </w:r>
            <w:r>
              <w:rPr>
                <w:rStyle w:val="5"/>
                <w:lang w:val="en-US" w:eastAsia="zh-CN" w:bidi="ar"/>
              </w:rPr>
              <w:t>卫生、标识牌、有无异味、照明等）</w:t>
            </w:r>
          </w:p>
        </w:tc>
      </w:tr>
      <w:tr w14:paraId="4704F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0442AC4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415C16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低压柜</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469B951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0.4KV</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44BE17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5D40C7E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5DF48D36">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1E45E892">
            <w:pPr>
              <w:jc w:val="center"/>
              <w:rPr>
                <w:rFonts w:hint="default" w:ascii="Times New Roman" w:hAnsi="Times New Roman" w:eastAsia="宋体" w:cs="Times New Roman"/>
                <w:i w:val="0"/>
                <w:iCs w:val="0"/>
                <w:color w:val="000000"/>
                <w:sz w:val="21"/>
                <w:szCs w:val="21"/>
                <w:u w:val="none"/>
              </w:rPr>
            </w:pPr>
          </w:p>
        </w:tc>
        <w:tc>
          <w:tcPr>
            <w:tcW w:w="0" w:type="auto"/>
            <w:tcBorders>
              <w:top w:val="nil"/>
              <w:left w:val="single" w:color="000000" w:sz="8" w:space="0"/>
              <w:bottom w:val="single" w:color="000000" w:sz="8" w:space="0"/>
              <w:right w:val="single" w:color="000000" w:sz="8" w:space="0"/>
            </w:tcBorders>
            <w:shd w:val="clear" w:color="auto" w:fill="auto"/>
            <w:noWrap/>
            <w:vAlign w:val="center"/>
          </w:tcPr>
          <w:p w14:paraId="4337ED47">
            <w:pPr>
              <w:rPr>
                <w:rFonts w:hint="eastAsia" w:ascii="宋体" w:hAnsi="宋体" w:eastAsia="宋体" w:cs="宋体"/>
                <w:i w:val="0"/>
                <w:iCs w:val="0"/>
                <w:color w:val="000000"/>
                <w:sz w:val="22"/>
                <w:szCs w:val="22"/>
                <w:u w:val="none"/>
              </w:rPr>
            </w:pPr>
          </w:p>
        </w:tc>
      </w:tr>
      <w:tr w14:paraId="12A5F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8715" w:type="dxa"/>
            <w:gridSpan w:val="8"/>
            <w:tcBorders>
              <w:top w:val="nil"/>
              <w:left w:val="single" w:color="000000" w:sz="8" w:space="0"/>
              <w:bottom w:val="single" w:color="000000" w:sz="8" w:space="0"/>
              <w:right w:val="single" w:color="000000" w:sz="8" w:space="0"/>
            </w:tcBorders>
            <w:shd w:val="clear" w:color="auto" w:fill="auto"/>
            <w:vAlign w:val="center"/>
          </w:tcPr>
          <w:p w14:paraId="5623AE2A">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中北学院8号配电房运维明细（图书馆北侧）</w:t>
            </w:r>
          </w:p>
        </w:tc>
      </w:tr>
      <w:tr w14:paraId="2DF11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2F07939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10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954C88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变压器</w:t>
            </w:r>
          </w:p>
        </w:tc>
        <w:tc>
          <w:tcPr>
            <w:tcW w:w="14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974742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1600kVA</w:t>
            </w:r>
            <w:r>
              <w:rPr>
                <w:rStyle w:val="5"/>
                <w:lang w:val="en-US" w:eastAsia="zh-CN" w:bidi="ar"/>
              </w:rPr>
              <w:t>、</w:t>
            </w:r>
            <w:r>
              <w:rPr>
                <w:rStyle w:val="6"/>
                <w:rFonts w:eastAsia="宋体"/>
                <w:lang w:val="en-US" w:eastAsia="zh-CN" w:bidi="ar"/>
              </w:rPr>
              <w:t>1600kVA 1000kVA</w:t>
            </w:r>
          </w:p>
        </w:tc>
        <w:tc>
          <w:tcPr>
            <w:tcW w:w="4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10FB2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5A2520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7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E9A9827">
            <w:pPr>
              <w:jc w:val="center"/>
              <w:rPr>
                <w:rFonts w:hint="default" w:ascii="Times New Roman" w:hAnsi="Times New Roman" w:eastAsia="宋体" w:cs="Times New Roman"/>
                <w:i w:val="0"/>
                <w:iCs w:val="0"/>
                <w:color w:val="000000"/>
                <w:sz w:val="21"/>
                <w:szCs w:val="21"/>
                <w:u w:val="none"/>
              </w:rPr>
            </w:pPr>
          </w:p>
        </w:tc>
        <w:tc>
          <w:tcPr>
            <w:tcW w:w="7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10E0360">
            <w:pPr>
              <w:jc w:val="center"/>
              <w:rPr>
                <w:rFonts w:hint="default" w:ascii="Times New Roman" w:hAnsi="Times New Roman" w:eastAsia="宋体" w:cs="Times New Roman"/>
                <w:i w:val="0"/>
                <w:iCs w:val="0"/>
                <w:color w:val="000000"/>
                <w:sz w:val="21"/>
                <w:szCs w:val="21"/>
                <w:u w:val="none"/>
              </w:rPr>
            </w:pPr>
          </w:p>
        </w:tc>
        <w:tc>
          <w:tcPr>
            <w:tcW w:w="3315" w:type="dxa"/>
            <w:tcBorders>
              <w:top w:val="single" w:color="000000" w:sz="8" w:space="0"/>
              <w:left w:val="single" w:color="000000" w:sz="8" w:space="0"/>
              <w:bottom w:val="nil"/>
              <w:right w:val="single" w:color="000000" w:sz="8" w:space="0"/>
            </w:tcBorders>
            <w:shd w:val="clear" w:color="auto" w:fill="auto"/>
            <w:vAlign w:val="center"/>
          </w:tcPr>
          <w:p w14:paraId="1DE19E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r>
              <w:rPr>
                <w:rStyle w:val="5"/>
                <w:lang w:val="en-US" w:eastAsia="zh-CN" w:bidi="ar"/>
              </w:rPr>
              <w:t>对所有用电设备进行安全用电检查（螺丝、桩头、指示、开关状态、外观、电压、电流、功率因数等</w:t>
            </w:r>
          </w:p>
        </w:tc>
      </w:tr>
      <w:tr w14:paraId="6DEB2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38B4D6A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21106FA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高压柜及开关</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6200222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20kV</w:t>
            </w:r>
            <w:r>
              <w:rPr>
                <w:rStyle w:val="5"/>
                <w:lang w:val="en-US" w:eastAsia="zh-CN" w:bidi="ar"/>
              </w:rPr>
              <w:t>断路器</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716AEC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16E2CD8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32757A32">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14238940">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nil"/>
              <w:right w:val="single" w:color="000000" w:sz="8" w:space="0"/>
            </w:tcBorders>
            <w:shd w:val="clear" w:color="auto" w:fill="auto"/>
            <w:vAlign w:val="center"/>
          </w:tcPr>
          <w:p w14:paraId="404290F1">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r>
              <w:rPr>
                <w:rStyle w:val="5"/>
                <w:lang w:val="en-US" w:eastAsia="zh-CN" w:bidi="ar"/>
              </w:rPr>
              <w:t>、对所有用电设备连接处进行红外测</w:t>
            </w:r>
          </w:p>
        </w:tc>
      </w:tr>
      <w:tr w14:paraId="099BD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720360D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6D57F6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低压柜</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2AAE6BF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0.4KV</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55283D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6588306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18F47BCC">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402BB863">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single" w:color="000000" w:sz="8" w:space="0"/>
              <w:right w:val="single" w:color="000000" w:sz="8" w:space="0"/>
            </w:tcBorders>
            <w:shd w:val="clear" w:color="auto" w:fill="auto"/>
            <w:vAlign w:val="center"/>
          </w:tcPr>
          <w:p w14:paraId="5CC9CC3B">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r>
              <w:rPr>
                <w:rStyle w:val="5"/>
                <w:lang w:val="en-US" w:eastAsia="zh-CN" w:bidi="ar"/>
              </w:rPr>
              <w:t>、目视化环境检查</w:t>
            </w:r>
            <w:r>
              <w:rPr>
                <w:rStyle w:val="6"/>
                <w:rFonts w:eastAsia="宋体"/>
                <w:lang w:val="en-US" w:eastAsia="zh-CN" w:bidi="ar"/>
              </w:rPr>
              <w:t>(</w:t>
            </w:r>
            <w:r>
              <w:rPr>
                <w:rStyle w:val="5"/>
                <w:lang w:val="en-US" w:eastAsia="zh-CN" w:bidi="ar"/>
              </w:rPr>
              <w:t>卫生、标识牌、有无异味、照明等）</w:t>
            </w:r>
          </w:p>
        </w:tc>
      </w:tr>
      <w:tr w14:paraId="268DD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8715" w:type="dxa"/>
            <w:gridSpan w:val="8"/>
            <w:tcBorders>
              <w:top w:val="nil"/>
              <w:left w:val="single" w:color="000000" w:sz="8" w:space="0"/>
              <w:bottom w:val="single" w:color="000000" w:sz="8" w:space="0"/>
              <w:right w:val="single" w:color="000000" w:sz="8" w:space="0"/>
            </w:tcBorders>
            <w:shd w:val="clear" w:color="auto" w:fill="auto"/>
            <w:vAlign w:val="center"/>
          </w:tcPr>
          <w:p w14:paraId="469F8E4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其他综合运维服务明细</w:t>
            </w:r>
          </w:p>
        </w:tc>
      </w:tr>
      <w:tr w14:paraId="2BE93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5"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64D5AF5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10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5DD20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线上电力运维服务</w:t>
            </w:r>
            <w:r>
              <w:rPr>
                <w:rStyle w:val="6"/>
                <w:rFonts w:eastAsia="宋体"/>
                <w:lang w:val="en-US" w:eastAsia="zh-CN" w:bidi="ar"/>
              </w:rPr>
              <w:t>(</w:t>
            </w:r>
            <w:r>
              <w:rPr>
                <w:rStyle w:val="5"/>
                <w:lang w:val="en-US" w:eastAsia="zh-CN" w:bidi="ar"/>
              </w:rPr>
              <w:t>含云平台服务）</w:t>
            </w:r>
          </w:p>
        </w:tc>
        <w:tc>
          <w:tcPr>
            <w:tcW w:w="14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5C6D89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7*24</w:t>
            </w:r>
            <w:r>
              <w:rPr>
                <w:rStyle w:val="5"/>
                <w:lang w:val="en-US" w:eastAsia="zh-CN" w:bidi="ar"/>
              </w:rPr>
              <w:t>小时后台专家组大数据分析，实时监测和报警务。智慧用电平台标准版</w:t>
            </w:r>
            <w:r>
              <w:rPr>
                <w:rStyle w:val="6"/>
                <w:rFonts w:eastAsia="宋体"/>
                <w:lang w:val="en-US" w:eastAsia="zh-CN" w:bidi="ar"/>
              </w:rPr>
              <w:t>V1.1.0</w:t>
            </w:r>
            <w:r>
              <w:rPr>
                <w:rStyle w:val="5"/>
                <w:lang w:val="en-US" w:eastAsia="zh-CN" w:bidi="ar"/>
              </w:rPr>
              <w:t>及手机</w:t>
            </w:r>
            <w:r>
              <w:rPr>
                <w:rStyle w:val="6"/>
                <w:rFonts w:eastAsia="宋体"/>
                <w:lang w:val="en-US" w:eastAsia="zh-CN" w:bidi="ar"/>
              </w:rPr>
              <w:t>APP</w:t>
            </w:r>
            <w:r>
              <w:rPr>
                <w:rStyle w:val="5"/>
                <w:lang w:val="en-US" w:eastAsia="zh-CN" w:bidi="ar"/>
              </w:rPr>
              <w:t>服务</w:t>
            </w:r>
            <w:r>
              <w:rPr>
                <w:rStyle w:val="6"/>
                <w:rFonts w:eastAsia="宋体"/>
                <w:lang w:val="en-US" w:eastAsia="zh-CN" w:bidi="ar"/>
              </w:rPr>
              <w:t>(</w:t>
            </w:r>
            <w:r>
              <w:rPr>
                <w:rStyle w:val="5"/>
                <w:lang w:val="en-US" w:eastAsia="zh-CN" w:bidi="ar"/>
              </w:rPr>
              <w:t>包含服务器租赁、流量费用）</w:t>
            </w:r>
          </w:p>
        </w:tc>
        <w:tc>
          <w:tcPr>
            <w:tcW w:w="4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8FFB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w:t>
            </w:r>
          </w:p>
        </w:tc>
        <w:tc>
          <w:tcPr>
            <w:tcW w:w="4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1F9C0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7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083B605">
            <w:pPr>
              <w:jc w:val="center"/>
              <w:rPr>
                <w:rFonts w:hint="default" w:ascii="Times New Roman" w:hAnsi="Times New Roman" w:eastAsia="宋体" w:cs="Times New Roman"/>
                <w:i w:val="0"/>
                <w:iCs w:val="0"/>
                <w:color w:val="000000"/>
                <w:sz w:val="21"/>
                <w:szCs w:val="21"/>
                <w:u w:val="none"/>
              </w:rPr>
            </w:pPr>
          </w:p>
        </w:tc>
        <w:tc>
          <w:tcPr>
            <w:tcW w:w="70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A8B1E0">
            <w:pPr>
              <w:jc w:val="center"/>
              <w:rPr>
                <w:rFonts w:hint="default" w:ascii="Times New Roman" w:hAnsi="Times New Roman" w:eastAsia="宋体" w:cs="Times New Roman"/>
                <w:i w:val="0"/>
                <w:iCs w:val="0"/>
                <w:color w:val="000000"/>
                <w:sz w:val="21"/>
                <w:szCs w:val="21"/>
                <w:u w:val="none"/>
              </w:rPr>
            </w:pPr>
          </w:p>
        </w:tc>
        <w:tc>
          <w:tcPr>
            <w:tcW w:w="331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88F59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包含服务器租赁费用、流量费用、平台维护费用</w:t>
            </w:r>
          </w:p>
        </w:tc>
      </w:tr>
      <w:tr w14:paraId="6021C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634E967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1724B9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电力抢修服务</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1787387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7*24</w:t>
            </w:r>
            <w:r>
              <w:rPr>
                <w:rStyle w:val="5"/>
                <w:lang w:val="en-US" w:eastAsia="zh-CN" w:bidi="ar"/>
              </w:rPr>
              <w:t>小时提供电力抢修服务</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22602F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7BCAB47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5526A1CE">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27DDED5A">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single" w:color="000000" w:sz="8" w:space="0"/>
              <w:right w:val="single" w:color="000000" w:sz="8" w:space="0"/>
            </w:tcBorders>
            <w:shd w:val="clear" w:color="auto" w:fill="auto"/>
            <w:vAlign w:val="center"/>
          </w:tcPr>
          <w:p w14:paraId="238A9D53">
            <w:pPr>
              <w:jc w:val="center"/>
              <w:rPr>
                <w:rFonts w:hint="eastAsia" w:ascii="宋体" w:hAnsi="宋体" w:eastAsia="宋体" w:cs="宋体"/>
                <w:i w:val="0"/>
                <w:iCs w:val="0"/>
                <w:color w:val="000000"/>
                <w:sz w:val="21"/>
                <w:szCs w:val="21"/>
                <w:u w:val="none"/>
              </w:rPr>
            </w:pPr>
          </w:p>
        </w:tc>
      </w:tr>
      <w:tr w14:paraId="165DD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95" w:type="dxa"/>
            <w:tcBorders>
              <w:top w:val="nil"/>
              <w:left w:val="single" w:color="000000" w:sz="8" w:space="0"/>
              <w:bottom w:val="single" w:color="000000" w:sz="8" w:space="0"/>
              <w:right w:val="single" w:color="000000" w:sz="8" w:space="0"/>
            </w:tcBorders>
            <w:shd w:val="clear" w:color="auto" w:fill="auto"/>
            <w:vAlign w:val="center"/>
          </w:tcPr>
          <w:p w14:paraId="65B63C1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1095" w:type="dxa"/>
            <w:tcBorders>
              <w:top w:val="nil"/>
              <w:left w:val="single" w:color="000000" w:sz="8" w:space="0"/>
              <w:bottom w:val="single" w:color="000000" w:sz="8" w:space="0"/>
              <w:right w:val="single" w:color="000000" w:sz="8" w:space="0"/>
            </w:tcBorders>
            <w:shd w:val="clear" w:color="auto" w:fill="auto"/>
            <w:vAlign w:val="center"/>
          </w:tcPr>
          <w:p w14:paraId="7ADCD9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安全工器具检测</w:t>
            </w:r>
          </w:p>
        </w:tc>
        <w:tc>
          <w:tcPr>
            <w:tcW w:w="1410" w:type="dxa"/>
            <w:tcBorders>
              <w:top w:val="nil"/>
              <w:left w:val="single" w:color="000000" w:sz="8" w:space="0"/>
              <w:bottom w:val="single" w:color="000000" w:sz="8" w:space="0"/>
              <w:right w:val="single" w:color="000000" w:sz="8" w:space="0"/>
            </w:tcBorders>
            <w:shd w:val="clear" w:color="auto" w:fill="auto"/>
            <w:vAlign w:val="center"/>
          </w:tcPr>
          <w:p w14:paraId="14A039A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4B574C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495" w:type="dxa"/>
            <w:tcBorders>
              <w:top w:val="nil"/>
              <w:left w:val="single" w:color="000000" w:sz="8" w:space="0"/>
              <w:bottom w:val="single" w:color="000000" w:sz="8" w:space="0"/>
              <w:right w:val="single" w:color="000000" w:sz="8" w:space="0"/>
            </w:tcBorders>
            <w:shd w:val="clear" w:color="auto" w:fill="auto"/>
            <w:vAlign w:val="center"/>
          </w:tcPr>
          <w:p w14:paraId="6E51A28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705" w:type="dxa"/>
            <w:tcBorders>
              <w:top w:val="nil"/>
              <w:left w:val="single" w:color="000000" w:sz="8" w:space="0"/>
              <w:bottom w:val="single" w:color="000000" w:sz="8" w:space="0"/>
              <w:right w:val="single" w:color="000000" w:sz="8" w:space="0"/>
            </w:tcBorders>
            <w:shd w:val="clear" w:color="auto" w:fill="auto"/>
            <w:vAlign w:val="center"/>
          </w:tcPr>
          <w:p w14:paraId="775A8D9B">
            <w:pPr>
              <w:jc w:val="center"/>
              <w:rPr>
                <w:rFonts w:hint="default" w:ascii="Times New Roman" w:hAnsi="Times New Roman" w:eastAsia="宋体" w:cs="Times New Roman"/>
                <w:i w:val="0"/>
                <w:iCs w:val="0"/>
                <w:color w:val="000000"/>
                <w:sz w:val="21"/>
                <w:szCs w:val="21"/>
                <w:u w:val="none"/>
              </w:rPr>
            </w:pPr>
          </w:p>
        </w:tc>
        <w:tc>
          <w:tcPr>
            <w:tcW w:w="705" w:type="dxa"/>
            <w:tcBorders>
              <w:top w:val="nil"/>
              <w:left w:val="single" w:color="000000" w:sz="8" w:space="0"/>
              <w:bottom w:val="single" w:color="000000" w:sz="8" w:space="0"/>
              <w:right w:val="single" w:color="000000" w:sz="8" w:space="0"/>
            </w:tcBorders>
            <w:shd w:val="clear" w:color="auto" w:fill="auto"/>
            <w:vAlign w:val="center"/>
          </w:tcPr>
          <w:p w14:paraId="18BFCFAE">
            <w:pPr>
              <w:jc w:val="center"/>
              <w:rPr>
                <w:rFonts w:hint="default" w:ascii="Times New Roman" w:hAnsi="Times New Roman" w:eastAsia="宋体" w:cs="Times New Roman"/>
                <w:i w:val="0"/>
                <w:iCs w:val="0"/>
                <w:color w:val="000000"/>
                <w:sz w:val="21"/>
                <w:szCs w:val="21"/>
                <w:u w:val="none"/>
              </w:rPr>
            </w:pPr>
          </w:p>
        </w:tc>
        <w:tc>
          <w:tcPr>
            <w:tcW w:w="3315" w:type="dxa"/>
            <w:tcBorders>
              <w:top w:val="nil"/>
              <w:left w:val="single" w:color="000000" w:sz="8" w:space="0"/>
              <w:bottom w:val="single" w:color="000000" w:sz="8" w:space="0"/>
              <w:right w:val="single" w:color="000000" w:sz="8" w:space="0"/>
            </w:tcBorders>
            <w:shd w:val="clear" w:color="auto" w:fill="auto"/>
            <w:vAlign w:val="center"/>
          </w:tcPr>
          <w:p w14:paraId="2EA039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w:t>
            </w:r>
            <w:r>
              <w:rPr>
                <w:rStyle w:val="6"/>
                <w:rFonts w:eastAsia="宋体"/>
                <w:lang w:val="en-US" w:eastAsia="zh-CN" w:bidi="ar"/>
              </w:rPr>
              <w:t>8</w:t>
            </w:r>
            <w:r>
              <w:rPr>
                <w:rStyle w:val="5"/>
                <w:lang w:val="en-US" w:eastAsia="zh-CN" w:bidi="ar"/>
              </w:rPr>
              <w:t>个配电房安全工器具进行定期的检测</w:t>
            </w:r>
          </w:p>
        </w:tc>
      </w:tr>
      <w:tr w14:paraId="1648A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495" w:type="dxa"/>
            <w:vMerge w:val="restart"/>
            <w:tcBorders>
              <w:top w:val="nil"/>
              <w:left w:val="single" w:color="000000" w:sz="8" w:space="0"/>
              <w:bottom w:val="single" w:color="000000" w:sz="8" w:space="0"/>
              <w:right w:val="single" w:color="000000" w:sz="8" w:space="0"/>
            </w:tcBorders>
            <w:shd w:val="clear" w:color="auto" w:fill="auto"/>
            <w:vAlign w:val="center"/>
          </w:tcPr>
          <w:p w14:paraId="461F6C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095" w:type="dxa"/>
            <w:vMerge w:val="restart"/>
            <w:tcBorders>
              <w:top w:val="nil"/>
              <w:left w:val="single" w:color="000000" w:sz="8" w:space="0"/>
              <w:bottom w:val="single" w:color="000000" w:sz="8" w:space="0"/>
              <w:right w:val="single" w:color="000000" w:sz="8" w:space="0"/>
            </w:tcBorders>
            <w:shd w:val="clear" w:color="auto" w:fill="auto"/>
            <w:vAlign w:val="center"/>
          </w:tcPr>
          <w:p w14:paraId="51643EB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合计（元/年）</w:t>
            </w:r>
          </w:p>
        </w:tc>
        <w:tc>
          <w:tcPr>
            <w:tcW w:w="3105" w:type="dxa"/>
            <w:gridSpan w:val="4"/>
            <w:vMerge w:val="restart"/>
            <w:tcBorders>
              <w:top w:val="nil"/>
              <w:left w:val="single" w:color="000000" w:sz="8" w:space="0"/>
              <w:bottom w:val="single" w:color="000000" w:sz="8" w:space="0"/>
              <w:right w:val="single" w:color="000000" w:sz="8" w:space="0"/>
            </w:tcBorders>
            <w:shd w:val="clear" w:color="auto" w:fill="auto"/>
            <w:vAlign w:val="center"/>
          </w:tcPr>
          <w:p w14:paraId="4B74D79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人民币（大写）：</w:t>
            </w:r>
          </w:p>
        </w:tc>
        <w:tc>
          <w:tcPr>
            <w:tcW w:w="705" w:type="dxa"/>
            <w:vMerge w:val="restart"/>
            <w:tcBorders>
              <w:top w:val="nil"/>
              <w:left w:val="single" w:color="000000" w:sz="8" w:space="0"/>
              <w:bottom w:val="single" w:color="000000" w:sz="8" w:space="0"/>
              <w:right w:val="single" w:color="000000" w:sz="8" w:space="0"/>
            </w:tcBorders>
            <w:shd w:val="clear" w:color="auto" w:fill="auto"/>
            <w:vAlign w:val="center"/>
          </w:tcPr>
          <w:p w14:paraId="6D590EF6">
            <w:pPr>
              <w:jc w:val="center"/>
              <w:rPr>
                <w:rFonts w:hint="eastAsia" w:ascii="宋体" w:hAnsi="宋体" w:eastAsia="宋体" w:cs="宋体"/>
                <w:b/>
                <w:bCs/>
                <w:i w:val="0"/>
                <w:iCs w:val="0"/>
                <w:color w:val="000000"/>
                <w:sz w:val="24"/>
                <w:szCs w:val="24"/>
                <w:u w:val="none"/>
              </w:rPr>
            </w:pPr>
          </w:p>
        </w:tc>
        <w:tc>
          <w:tcPr>
            <w:tcW w:w="3315" w:type="dxa"/>
            <w:tcBorders>
              <w:top w:val="nil"/>
              <w:left w:val="single" w:color="000000" w:sz="8" w:space="0"/>
              <w:bottom w:val="nil"/>
              <w:right w:val="single" w:color="000000" w:sz="8" w:space="0"/>
            </w:tcBorders>
            <w:shd w:val="clear" w:color="auto" w:fill="auto"/>
            <w:vAlign w:val="center"/>
          </w:tcPr>
          <w:p w14:paraId="21BBF4B9">
            <w:pPr>
              <w:keepNext w:val="0"/>
              <w:keepLines w:val="0"/>
              <w:widowControl/>
              <w:suppressLineNumbers w:val="0"/>
              <w:jc w:val="both"/>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w:t>
            </w:r>
            <w:r>
              <w:rPr>
                <w:rStyle w:val="7"/>
                <w:lang w:val="en-US" w:eastAsia="zh-CN" w:bidi="ar"/>
              </w:rPr>
              <w:t>包含20KV电气元器件应急供应（按市场价结算）</w:t>
            </w:r>
          </w:p>
        </w:tc>
      </w:tr>
      <w:tr w14:paraId="1B197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5" w:type="dxa"/>
            <w:vMerge w:val="continue"/>
            <w:tcBorders>
              <w:top w:val="nil"/>
              <w:left w:val="single" w:color="000000" w:sz="8" w:space="0"/>
              <w:bottom w:val="single" w:color="000000" w:sz="8" w:space="0"/>
              <w:right w:val="single" w:color="000000" w:sz="8" w:space="0"/>
            </w:tcBorders>
            <w:shd w:val="clear" w:color="auto" w:fill="auto"/>
            <w:vAlign w:val="center"/>
          </w:tcPr>
          <w:p w14:paraId="0B8F881F">
            <w:pPr>
              <w:jc w:val="center"/>
              <w:rPr>
                <w:rFonts w:hint="eastAsia" w:ascii="宋体" w:hAnsi="宋体" w:eastAsia="宋体" w:cs="宋体"/>
                <w:i w:val="0"/>
                <w:iCs w:val="0"/>
                <w:color w:val="000000"/>
                <w:sz w:val="24"/>
                <w:szCs w:val="24"/>
                <w:u w:val="none"/>
              </w:rPr>
            </w:pPr>
          </w:p>
        </w:tc>
        <w:tc>
          <w:tcPr>
            <w:tcW w:w="1095" w:type="dxa"/>
            <w:vMerge w:val="continue"/>
            <w:tcBorders>
              <w:top w:val="nil"/>
              <w:left w:val="single" w:color="000000" w:sz="8" w:space="0"/>
              <w:bottom w:val="single" w:color="000000" w:sz="8" w:space="0"/>
              <w:right w:val="single" w:color="000000" w:sz="8" w:space="0"/>
            </w:tcBorders>
            <w:shd w:val="clear" w:color="auto" w:fill="auto"/>
            <w:vAlign w:val="center"/>
          </w:tcPr>
          <w:p w14:paraId="40AFF3D7">
            <w:pPr>
              <w:jc w:val="center"/>
              <w:rPr>
                <w:rFonts w:hint="eastAsia" w:ascii="宋体" w:hAnsi="宋体" w:eastAsia="宋体" w:cs="宋体"/>
                <w:b/>
                <w:bCs/>
                <w:i w:val="0"/>
                <w:iCs w:val="0"/>
                <w:color w:val="000000"/>
                <w:sz w:val="24"/>
                <w:szCs w:val="24"/>
                <w:u w:val="none"/>
              </w:rPr>
            </w:pPr>
          </w:p>
        </w:tc>
        <w:tc>
          <w:tcPr>
            <w:tcW w:w="3105" w:type="dxa"/>
            <w:gridSpan w:val="4"/>
            <w:vMerge w:val="continue"/>
            <w:tcBorders>
              <w:top w:val="nil"/>
              <w:left w:val="single" w:color="000000" w:sz="8" w:space="0"/>
              <w:bottom w:val="single" w:color="000000" w:sz="8" w:space="0"/>
              <w:right w:val="single" w:color="000000" w:sz="8" w:space="0"/>
            </w:tcBorders>
            <w:shd w:val="clear" w:color="auto" w:fill="auto"/>
            <w:vAlign w:val="center"/>
          </w:tcPr>
          <w:p w14:paraId="062DF31C">
            <w:pPr>
              <w:jc w:val="center"/>
              <w:rPr>
                <w:rFonts w:hint="eastAsia" w:ascii="宋体" w:hAnsi="宋体" w:eastAsia="宋体" w:cs="宋体"/>
                <w:b/>
                <w:bCs/>
                <w:i w:val="0"/>
                <w:iCs w:val="0"/>
                <w:color w:val="000000"/>
                <w:sz w:val="24"/>
                <w:szCs w:val="24"/>
                <w:u w:val="none"/>
              </w:rPr>
            </w:pPr>
          </w:p>
        </w:tc>
        <w:tc>
          <w:tcPr>
            <w:tcW w:w="705" w:type="dxa"/>
            <w:vMerge w:val="continue"/>
            <w:tcBorders>
              <w:top w:val="nil"/>
              <w:left w:val="single" w:color="000000" w:sz="8" w:space="0"/>
              <w:bottom w:val="single" w:color="000000" w:sz="8" w:space="0"/>
              <w:right w:val="single" w:color="000000" w:sz="8" w:space="0"/>
            </w:tcBorders>
            <w:shd w:val="clear" w:color="auto" w:fill="auto"/>
            <w:vAlign w:val="center"/>
          </w:tcPr>
          <w:p w14:paraId="4AF42CE6">
            <w:pPr>
              <w:jc w:val="center"/>
              <w:rPr>
                <w:rFonts w:hint="eastAsia" w:ascii="宋体" w:hAnsi="宋体" w:eastAsia="宋体" w:cs="宋体"/>
                <w:b/>
                <w:bCs/>
                <w:i w:val="0"/>
                <w:iCs w:val="0"/>
                <w:color w:val="000000"/>
                <w:sz w:val="24"/>
                <w:szCs w:val="24"/>
                <w:u w:val="none"/>
              </w:rPr>
            </w:pPr>
          </w:p>
        </w:tc>
        <w:tc>
          <w:tcPr>
            <w:tcW w:w="3315" w:type="dxa"/>
            <w:tcBorders>
              <w:top w:val="nil"/>
              <w:left w:val="single" w:color="000000" w:sz="8" w:space="0"/>
              <w:bottom w:val="single" w:color="000000" w:sz="8" w:space="0"/>
              <w:right w:val="single" w:color="000000" w:sz="8" w:space="0"/>
            </w:tcBorders>
            <w:shd w:val="clear" w:color="auto" w:fill="auto"/>
            <w:vAlign w:val="center"/>
          </w:tcPr>
          <w:p w14:paraId="2DF2EE4F">
            <w:pPr>
              <w:keepNext w:val="0"/>
              <w:keepLines w:val="0"/>
              <w:widowControl/>
              <w:suppressLineNumbers w:val="0"/>
              <w:jc w:val="both"/>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2、此价格为含税价</w:t>
            </w:r>
          </w:p>
        </w:tc>
      </w:tr>
    </w:tbl>
    <w:p w14:paraId="2A9EA15A">
      <w:pPr>
        <w:numPr>
          <w:ilvl w:val="0"/>
          <w:numId w:val="0"/>
        </w:numPr>
        <w:spacing w:line="500" w:lineRule="exact"/>
        <w:jc w:val="left"/>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六、资质</w:t>
      </w:r>
      <w:r>
        <w:rPr>
          <w:rFonts w:hint="default" w:ascii="宋体" w:hAnsi="宋体" w:cs="宋体"/>
          <w:b w:val="0"/>
          <w:bCs w:val="0"/>
          <w:color w:val="auto"/>
          <w:sz w:val="24"/>
          <w:szCs w:val="24"/>
          <w:highlight w:val="none"/>
          <w:lang w:val="en-US" w:eastAsia="zh-CN"/>
        </w:rPr>
        <w:t>要求：</w:t>
      </w:r>
    </w:p>
    <w:p w14:paraId="0B18CAB8">
      <w:pPr>
        <w:numPr>
          <w:ilvl w:val="0"/>
          <w:numId w:val="0"/>
        </w:numPr>
        <w:spacing w:line="500" w:lineRule="exact"/>
        <w:jc w:val="left"/>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1、</w:t>
      </w:r>
      <w:r>
        <w:rPr>
          <w:rFonts w:hint="eastAsia" w:ascii="宋体" w:hAnsi="宋体" w:cs="宋体"/>
          <w:b w:val="0"/>
          <w:bCs w:val="0"/>
          <w:color w:val="auto"/>
          <w:sz w:val="24"/>
          <w:szCs w:val="24"/>
          <w:highlight w:val="none"/>
          <w:lang w:val="en-US" w:eastAsia="zh-CN"/>
        </w:rPr>
        <w:t>响应</w:t>
      </w:r>
      <w:r>
        <w:rPr>
          <w:rFonts w:hint="default" w:ascii="宋体" w:hAnsi="宋体" w:cs="宋体"/>
          <w:b w:val="0"/>
          <w:bCs w:val="0"/>
          <w:color w:val="auto"/>
          <w:sz w:val="24"/>
          <w:szCs w:val="24"/>
          <w:highlight w:val="none"/>
          <w:lang w:val="en-US" w:eastAsia="zh-CN"/>
        </w:rPr>
        <w:t>人具有独立法人资格，提供营业执照（副本）。（提供营业执照副本复印件，加盖公章）；</w:t>
      </w:r>
    </w:p>
    <w:p w14:paraId="305B4DAA">
      <w:pPr>
        <w:numPr>
          <w:ilvl w:val="0"/>
          <w:numId w:val="0"/>
        </w:numPr>
        <w:spacing w:line="500" w:lineRule="exact"/>
        <w:jc w:val="left"/>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val="en-US" w:eastAsia="zh-CN"/>
        </w:rPr>
        <w:t>响应</w:t>
      </w:r>
      <w:r>
        <w:rPr>
          <w:rFonts w:hint="default" w:ascii="宋体" w:hAnsi="宋体" w:cs="宋体"/>
          <w:b w:val="0"/>
          <w:bCs w:val="0"/>
          <w:color w:val="auto"/>
          <w:sz w:val="24"/>
          <w:szCs w:val="24"/>
          <w:highlight w:val="none"/>
          <w:lang w:val="en-US" w:eastAsia="zh-CN"/>
        </w:rPr>
        <w:t>人具有电力工程施工总承包三级及以上资质（或者输变电工程专业承包三级及以上资质）（提供证书复印件，加盖公章）；</w:t>
      </w:r>
    </w:p>
    <w:p w14:paraId="19D406C1">
      <w:pPr>
        <w:numPr>
          <w:ilvl w:val="0"/>
          <w:numId w:val="0"/>
        </w:numPr>
        <w:spacing w:line="500" w:lineRule="exact"/>
        <w:jc w:val="left"/>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3、</w:t>
      </w:r>
      <w:r>
        <w:rPr>
          <w:rFonts w:hint="eastAsia" w:ascii="宋体" w:hAnsi="宋体" w:cs="宋体"/>
          <w:b w:val="0"/>
          <w:bCs w:val="0"/>
          <w:color w:val="auto"/>
          <w:sz w:val="24"/>
          <w:szCs w:val="24"/>
          <w:highlight w:val="none"/>
          <w:lang w:val="en-US" w:eastAsia="zh-CN"/>
        </w:rPr>
        <w:t>响应</w:t>
      </w:r>
      <w:r>
        <w:rPr>
          <w:rFonts w:hint="default" w:ascii="宋体" w:hAnsi="宋体" w:cs="宋体"/>
          <w:b w:val="0"/>
          <w:bCs w:val="0"/>
          <w:color w:val="auto"/>
          <w:sz w:val="24"/>
          <w:szCs w:val="24"/>
          <w:highlight w:val="none"/>
          <w:lang w:val="en-US" w:eastAsia="zh-CN"/>
        </w:rPr>
        <w:t>人具有国家电力监管委员会颁发的承装(修、试)电力设施许可证四级及以上资质（提供证书复印件，加盖公章）；</w:t>
      </w:r>
    </w:p>
    <w:p w14:paraId="71CAAB63">
      <w:pPr>
        <w:numPr>
          <w:ilvl w:val="0"/>
          <w:numId w:val="0"/>
        </w:numPr>
        <w:spacing w:line="500" w:lineRule="exact"/>
        <w:jc w:val="left"/>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4、</w:t>
      </w:r>
      <w:r>
        <w:rPr>
          <w:rFonts w:ascii="宋体" w:hAnsi="宋体" w:eastAsia="宋体" w:cs="宋体"/>
          <w:sz w:val="24"/>
          <w:szCs w:val="24"/>
        </w:rPr>
        <w:t>具有履行合同所必需的专业技术能力（人员高压操作证、技能等级证书）</w:t>
      </w:r>
    </w:p>
    <w:p w14:paraId="24DDA806">
      <w:pPr>
        <w:numPr>
          <w:ilvl w:val="0"/>
          <w:numId w:val="0"/>
        </w:numPr>
        <w:spacing w:line="500" w:lineRule="exact"/>
        <w:jc w:val="left"/>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5</w:t>
      </w:r>
      <w:r>
        <w:rPr>
          <w:rFonts w:hint="default" w:ascii="宋体" w:hAnsi="宋体" w:cs="宋体"/>
          <w:b w:val="0"/>
          <w:bCs w:val="0"/>
          <w:color w:val="auto"/>
          <w:sz w:val="24"/>
          <w:szCs w:val="24"/>
          <w:highlight w:val="none"/>
          <w:lang w:val="en-US" w:eastAsia="zh-CN"/>
        </w:rPr>
        <w:t>、参加本次</w:t>
      </w:r>
      <w:r>
        <w:rPr>
          <w:rFonts w:hint="eastAsia" w:ascii="宋体" w:hAnsi="宋体" w:cs="宋体"/>
          <w:b w:val="0"/>
          <w:bCs w:val="0"/>
          <w:color w:val="auto"/>
          <w:sz w:val="24"/>
          <w:szCs w:val="24"/>
          <w:highlight w:val="none"/>
          <w:lang w:val="en-US" w:eastAsia="zh-CN"/>
        </w:rPr>
        <w:t>采购</w:t>
      </w:r>
      <w:r>
        <w:rPr>
          <w:rFonts w:hint="default" w:ascii="宋体" w:hAnsi="宋体" w:cs="宋体"/>
          <w:b w:val="0"/>
          <w:bCs w:val="0"/>
          <w:color w:val="auto"/>
          <w:sz w:val="24"/>
          <w:szCs w:val="24"/>
          <w:highlight w:val="none"/>
          <w:lang w:val="en-US" w:eastAsia="zh-CN"/>
        </w:rPr>
        <w:t>活动近三年内（成立时间不足三年的、自成立时间起），在经营活动中没有重大违法记录（提供承诺书，格式自拟，重大违法记录是指</w:t>
      </w:r>
      <w:r>
        <w:rPr>
          <w:rFonts w:hint="eastAsia" w:ascii="宋体" w:hAnsi="宋体" w:cs="宋体"/>
          <w:b w:val="0"/>
          <w:bCs w:val="0"/>
          <w:color w:val="auto"/>
          <w:sz w:val="24"/>
          <w:szCs w:val="24"/>
          <w:highlight w:val="none"/>
          <w:lang w:val="en-US" w:eastAsia="zh-CN"/>
        </w:rPr>
        <w:t>响应</w:t>
      </w:r>
      <w:r>
        <w:rPr>
          <w:rFonts w:hint="default" w:ascii="宋体" w:hAnsi="宋体" w:cs="宋体"/>
          <w:b w:val="0"/>
          <w:bCs w:val="0"/>
          <w:color w:val="auto"/>
          <w:sz w:val="24"/>
          <w:szCs w:val="24"/>
          <w:highlight w:val="none"/>
          <w:lang w:val="en-US" w:eastAsia="zh-CN"/>
        </w:rPr>
        <w:t>人因违法经营受到刑事处罚或责令停产停业、吊销许可证或者执照、较大数额等行政处罚）。</w:t>
      </w:r>
    </w:p>
    <w:p w14:paraId="73C08BBB">
      <w:pPr>
        <w:numPr>
          <w:ilvl w:val="0"/>
          <w:numId w:val="0"/>
        </w:numPr>
        <w:spacing w:line="500" w:lineRule="exact"/>
        <w:jc w:val="left"/>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6</w:t>
      </w:r>
      <w:r>
        <w:rPr>
          <w:rFonts w:hint="default" w:ascii="宋体" w:hAnsi="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2020</w:t>
      </w:r>
      <w:r>
        <w:rPr>
          <w:rFonts w:hint="default" w:ascii="宋体" w:hAnsi="宋体" w:cs="宋体"/>
          <w:b w:val="0"/>
          <w:bCs w:val="0"/>
          <w:color w:val="auto"/>
          <w:sz w:val="24"/>
          <w:szCs w:val="24"/>
          <w:highlight w:val="none"/>
          <w:lang w:val="en-US" w:eastAsia="zh-CN"/>
        </w:rPr>
        <w:t>年1月1日起至今未被国家财政部指定的信用记录查询渠道（“信用中国”网站www.creditchina.gov.cn）列入失信被执行主体、重大税收违法案件当事主体、政府采购严重违法失</w:t>
      </w:r>
      <w:bookmarkStart w:id="0" w:name="_GoBack"/>
      <w:bookmarkEnd w:id="0"/>
      <w:r>
        <w:rPr>
          <w:rFonts w:hint="default" w:ascii="宋体" w:hAnsi="宋体" w:cs="宋体"/>
          <w:b w:val="0"/>
          <w:bCs w:val="0"/>
          <w:color w:val="auto"/>
          <w:sz w:val="24"/>
          <w:szCs w:val="24"/>
          <w:highlight w:val="none"/>
          <w:lang w:val="en-US" w:eastAsia="zh-CN"/>
        </w:rPr>
        <w:t>信行为当事主体等严重失信记录名单的。</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96CDA5"/>
    <w:multiLevelType w:val="singleLevel"/>
    <w:tmpl w:val="8A96CDA5"/>
    <w:lvl w:ilvl="0" w:tentative="0">
      <w:start w:val="5"/>
      <w:numFmt w:val="chineseCounting"/>
      <w:suff w:val="nothing"/>
      <w:lvlText w:val="%1、"/>
      <w:lvlJc w:val="left"/>
      <w:rPr>
        <w:rFonts w:hint="eastAsia"/>
      </w:rPr>
    </w:lvl>
  </w:abstractNum>
  <w:abstractNum w:abstractNumId="1">
    <w:nsid w:val="7C337076"/>
    <w:multiLevelType w:val="singleLevel"/>
    <w:tmpl w:val="7C33707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5B50FA"/>
    <w:rsid w:val="187A2E35"/>
    <w:rsid w:val="30670A24"/>
    <w:rsid w:val="365B50FA"/>
    <w:rsid w:val="427B7EC6"/>
    <w:rsid w:val="6BEF7DC9"/>
    <w:rsid w:val="7CEC1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5">
    <w:name w:val="font21"/>
    <w:basedOn w:val="4"/>
    <w:qFormat/>
    <w:uiPriority w:val="0"/>
    <w:rPr>
      <w:rFonts w:hint="eastAsia" w:ascii="宋体" w:hAnsi="宋体" w:eastAsia="宋体" w:cs="宋体"/>
      <w:color w:val="000000"/>
      <w:sz w:val="21"/>
      <w:szCs w:val="21"/>
      <w:u w:val="none"/>
    </w:rPr>
  </w:style>
  <w:style w:type="character" w:customStyle="1" w:styleId="6">
    <w:name w:val="font31"/>
    <w:basedOn w:val="4"/>
    <w:qFormat/>
    <w:uiPriority w:val="0"/>
    <w:rPr>
      <w:rFonts w:hint="default" w:ascii="Times New Roman" w:hAnsi="Times New Roman" w:cs="Times New Roman"/>
      <w:color w:val="000000"/>
      <w:sz w:val="21"/>
      <w:szCs w:val="21"/>
      <w:u w:val="none"/>
    </w:rPr>
  </w:style>
  <w:style w:type="character" w:customStyle="1" w:styleId="7">
    <w:name w:val="font51"/>
    <w:basedOn w:val="4"/>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3656</Words>
  <Characters>4001</Characters>
  <Lines>0</Lines>
  <Paragraphs>0</Paragraphs>
  <TotalTime>17</TotalTime>
  <ScaleCrop>false</ScaleCrop>
  <LinksUpToDate>false</LinksUpToDate>
  <CharactersWithSpaces>4005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2026-03-25T02:23:00Z</dcterms:created>
  <dc:creator>WPS_1523608567</dc:creator>
  <cp:lastModifiedBy>岩哥是英才</cp:lastModifiedBy>
  <cp:lastPrinted>2026-04-07T07:04:00Z</cp:lastPrinted>
  <dcterms:modified xsi:type="dcterms:W3CDTF">2026-04-08T01:33:10Z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7B20D619D7324E5B9BFCA44954CBDD4B_13</vt:lpwstr>
  </property>
  <property fmtid="{D5CDD505-2E9C-101B-9397-08002B2CF9AE}" pid="4" name="KSOTemplateDocerSaveRecord">
    <vt:lpwstr>eyJoZGlkIjoiZGEyNDI4NDFhZmM3MDIzZWY2NzhlYTFhNjIxZDExZmMiLCJ1c2VySWQiOiI2OTEzMjY3MTEifQ==</vt:lpwstr>
  </property>
</Properties>
</file>