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EF95D">
      <w:pPr>
        <w:spacing w:line="360" w:lineRule="auto"/>
        <w:jc w:val="center"/>
        <w:outlineLvl w:val="0"/>
        <w:rPr>
          <w:rFonts w:ascii="宋体" w:hAnsi="宋体" w:cs="宋体"/>
          <w:bCs/>
          <w:color w:val="000000" w:themeColor="text1"/>
          <w:sz w:val="36"/>
          <w:szCs w:val="36"/>
          <w14:textFill>
            <w14:solidFill>
              <w14:schemeClr w14:val="tx1"/>
            </w14:solidFill>
          </w14:textFill>
        </w:rPr>
      </w:pPr>
      <w:bookmarkStart w:id="0" w:name="OLE_LINK5"/>
      <w:bookmarkStart w:id="1" w:name="OLE_LINK7"/>
      <w:bookmarkStart w:id="2" w:name="OLE_LINK6"/>
      <w:r>
        <w:rPr>
          <w:rFonts w:hint="eastAsia" w:ascii="宋体" w:hAnsi="宋体" w:cs="宋体"/>
          <w:bCs/>
          <w:color w:val="000000" w:themeColor="text1"/>
          <w:sz w:val="36"/>
          <w:szCs w:val="36"/>
          <w14:textFill>
            <w14:solidFill>
              <w14:schemeClr w14:val="tx1"/>
            </w14:solidFill>
          </w14:textFill>
        </w:rPr>
        <w:t>项目情况</w:t>
      </w:r>
    </w:p>
    <w:p w14:paraId="3281260D">
      <w:pPr>
        <w:widowControl/>
        <w:shd w:val="clear" w:color="auto" w:fill="FFFFFF"/>
        <w:spacing w:line="460" w:lineRule="exact"/>
        <w:ind w:firstLine="562"/>
        <w:jc w:val="left"/>
        <w:rPr>
          <w:rFonts w:ascii="宋体" w:hAnsi="宋体" w:cs="宋体"/>
          <w:color w:val="FF0000"/>
          <w:szCs w:val="21"/>
          <w:u w:val="single"/>
        </w:rPr>
      </w:pPr>
      <w:r>
        <w:rPr>
          <w:rFonts w:hint="eastAsia" w:ascii="宋体" w:hAnsi="宋体" w:cs="宋体"/>
          <w:color w:val="000000" w:themeColor="text1"/>
          <w:sz w:val="28"/>
          <w:szCs w:val="28"/>
          <w14:textFill>
            <w14:solidFill>
              <w14:schemeClr w14:val="tx1"/>
            </w14:solidFill>
          </w14:textFill>
        </w:rPr>
        <w:t>项目名称：南京师范大学中北学院全光网络建设工程设计服务商采购项目</w:t>
      </w:r>
    </w:p>
    <w:p w14:paraId="1F9D7C38">
      <w:pPr>
        <w:widowControl/>
        <w:shd w:val="clear" w:color="auto" w:fill="FFFFFF"/>
        <w:spacing w:line="460" w:lineRule="exact"/>
        <w:ind w:firstLine="562"/>
        <w:jc w:val="left"/>
        <w:rPr>
          <w:rFonts w:ascii="宋体" w:hAnsi="宋体" w:cs="宋体"/>
          <w:sz w:val="28"/>
          <w:szCs w:val="28"/>
        </w:rPr>
      </w:pPr>
      <w:r>
        <w:rPr>
          <w:rFonts w:hint="eastAsia" w:ascii="宋体" w:hAnsi="宋体" w:cs="宋体"/>
          <w:sz w:val="28"/>
          <w:szCs w:val="28"/>
        </w:rPr>
        <w:t>预算金额：9.8万元</w:t>
      </w:r>
    </w:p>
    <w:p w14:paraId="2FB9B238">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p>
    <w:p w14:paraId="01F6DE4C">
      <w:pPr>
        <w:widowControl/>
        <w:shd w:val="clear" w:color="auto" w:fill="FFFFFF"/>
        <w:spacing w:line="460" w:lineRule="exact"/>
        <w:ind w:firstLine="562"/>
        <w:jc w:val="left"/>
        <w:rPr>
          <w:rFonts w:ascii="宋体" w:hAnsi="宋体" w:cs="宋体"/>
          <w:color w:val="FF0000"/>
          <w:szCs w:val="21"/>
          <w:u w:val="single"/>
        </w:rPr>
      </w:pPr>
      <w:r>
        <w:rPr>
          <w:rFonts w:hint="eastAsia" w:ascii="宋体" w:hAnsi="宋体" w:cs="宋体"/>
          <w:color w:val="000000" w:themeColor="text1"/>
          <w:sz w:val="28"/>
          <w:szCs w:val="28"/>
          <w14:textFill>
            <w14:solidFill>
              <w14:schemeClr w14:val="tx1"/>
            </w14:solidFill>
          </w14:textFill>
        </w:rPr>
        <w:t>资格要求（需提供相关证明材料并加盖公章）：</w:t>
      </w:r>
      <w:r>
        <w:rPr>
          <w:rFonts w:ascii="宋体" w:hAnsi="宋体" w:cs="宋体"/>
          <w:color w:val="FF0000"/>
          <w:szCs w:val="21"/>
          <w:u w:val="single"/>
        </w:rPr>
        <w:t xml:space="preserve"> </w:t>
      </w:r>
    </w:p>
    <w:p w14:paraId="76BAB5D0">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1.满足</w:t>
      </w:r>
      <w:r>
        <w:rPr>
          <w:rFonts w:hint="eastAsia" w:ascii="宋体" w:hAnsi="宋体" w:cs="宋体"/>
          <w:color w:val="000000" w:themeColor="text1"/>
          <w:sz w:val="28"/>
          <w:szCs w:val="28"/>
          <w:highlight w:val="none"/>
          <w:lang w:val="en-US" w:eastAsia="zh-CN"/>
          <w14:textFill>
            <w14:solidFill>
              <w14:schemeClr w14:val="tx1"/>
            </w14:solidFill>
          </w14:textFill>
        </w:rPr>
        <w:t>以下条件</w:t>
      </w:r>
      <w:r>
        <w:rPr>
          <w:rFonts w:hint="eastAsia" w:ascii="宋体" w:hAnsi="宋体" w:cs="宋体"/>
          <w:color w:val="000000" w:themeColor="text1"/>
          <w:sz w:val="28"/>
          <w:szCs w:val="28"/>
          <w:highlight w:val="none"/>
          <w14:textFill>
            <w14:solidFill>
              <w14:schemeClr w14:val="tx1"/>
            </w14:solidFill>
          </w14:textFill>
        </w:rPr>
        <w:t>：</w:t>
      </w:r>
    </w:p>
    <w:p w14:paraId="73DDF335">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（1）具有独立承担民事责任的能力（提供法人或者其他组织的营业执照等证明文件；</w:t>
      </w:r>
      <w:r>
        <w:rPr>
          <w:rFonts w:hint="eastAsia" w:ascii="宋体" w:hAnsi="宋体" w:cs="宋体"/>
          <w:sz w:val="28"/>
          <w:szCs w:val="21"/>
        </w:rPr>
        <w:t>响应</w:t>
      </w:r>
      <w:r>
        <w:rPr>
          <w:rFonts w:hint="eastAsia" w:ascii="宋体" w:hAnsi="宋体" w:cs="宋体"/>
          <w:color w:val="000000" w:themeColor="text1"/>
          <w:sz w:val="28"/>
          <w:szCs w:val="28"/>
          <w14:textFill>
            <w14:solidFill>
              <w14:schemeClr w14:val="tx1"/>
            </w14:solidFill>
          </w14:textFill>
        </w:rPr>
        <w:t xml:space="preserve">人为自然人的，提供其身份证；事业单位提供事业单位法人证书）； </w:t>
      </w:r>
    </w:p>
    <w:p w14:paraId="24C838C2">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（2）具有良好的商业信誉和健全的财务会计制度（提供上一年度企业财务审计报告，或近半年内至少一个月的财务报表；事业单位提供上一年度财务报表；或提供资格承诺函）； </w:t>
      </w:r>
    </w:p>
    <w:p w14:paraId="303631BC">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（3）具有履行合同所必需的设备和专业技术能力（见</w:t>
      </w:r>
      <w:r>
        <w:rPr>
          <w:rFonts w:hint="eastAsia" w:ascii="宋体" w:hAnsi="宋体" w:cs="宋体"/>
          <w:sz w:val="28"/>
          <w:szCs w:val="21"/>
        </w:rPr>
        <w:t>响应</w:t>
      </w:r>
      <w:r>
        <w:rPr>
          <w:rFonts w:hint="eastAsia" w:ascii="宋体" w:hAnsi="宋体" w:cs="宋体"/>
          <w:color w:val="000000" w:themeColor="text1"/>
          <w:sz w:val="28"/>
          <w:szCs w:val="28"/>
          <w14:textFill>
            <w14:solidFill>
              <w14:schemeClr w14:val="tx1"/>
            </w14:solidFill>
          </w14:textFill>
        </w:rPr>
        <w:t xml:space="preserve">人相关信息一览表；或提供资格承诺函）； </w:t>
      </w:r>
    </w:p>
    <w:p w14:paraId="2A1EC92C">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（4）有依法缴纳税收和社会保障资金的良好记录（提供参加本次采购活动近半年内至少一个月依法缴纳税收和社会保障资金的相关材料；事业单位提供相关证明材料；或提供资格承诺函）； </w:t>
      </w:r>
    </w:p>
    <w:p w14:paraId="7A186895">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（5）参加采购活动前三年内，在经营活动中没有重大违法记录（或提供资格承诺函）; </w:t>
      </w:r>
    </w:p>
    <w:p w14:paraId="157126E6">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（6）法律、行政法规规定的其他条件：无；</w:t>
      </w:r>
    </w:p>
    <w:p w14:paraId="30EE0851">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（7）本项目不接受以联合体形式参加。</w:t>
      </w:r>
    </w:p>
    <w:p w14:paraId="469C5DDA">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2.本项目的特定资格要求：</w:t>
      </w:r>
      <w:r>
        <w:rPr>
          <w:rFonts w:hint="eastAsia" w:ascii="宋体" w:hAnsi="宋体" w:cs="宋体"/>
          <w:sz w:val="28"/>
          <w:szCs w:val="21"/>
        </w:rPr>
        <w:t>响应</w:t>
      </w:r>
      <w:r>
        <w:rPr>
          <w:rFonts w:hint="eastAsia" w:ascii="宋体" w:hAnsi="宋体" w:cs="宋体"/>
          <w:b/>
          <w:bCs/>
          <w:color w:val="000000" w:themeColor="text1"/>
          <w:sz w:val="28"/>
          <w:szCs w:val="28"/>
          <w14:textFill>
            <w14:solidFill>
              <w14:schemeClr w14:val="tx1"/>
            </w14:solidFill>
          </w14:textFill>
        </w:rPr>
        <w:t>人具有工程设计电子通信广电行业有线通信专业甲级及以上资质。</w:t>
      </w:r>
      <w:r>
        <w:rPr>
          <w:rFonts w:hint="eastAsia" w:ascii="宋体" w:hAnsi="宋体" w:cs="宋体"/>
          <w:color w:val="000000" w:themeColor="text1"/>
          <w:sz w:val="28"/>
          <w:szCs w:val="28"/>
          <w14:textFill>
            <w14:solidFill>
              <w14:schemeClr w14:val="tx1"/>
            </w14:solidFill>
          </w14:textFill>
        </w:rPr>
        <w:br w:type="page"/>
      </w:r>
    </w:p>
    <w:p w14:paraId="77C9421E">
      <w:pPr>
        <w:spacing w:line="360" w:lineRule="auto"/>
        <w:jc w:val="center"/>
        <w:outlineLvl w:val="0"/>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t>采购需求</w:t>
      </w:r>
    </w:p>
    <w:bookmarkEnd w:id="0"/>
    <w:bookmarkEnd w:id="1"/>
    <w:bookmarkEnd w:id="2"/>
    <w:p w14:paraId="7EFA7580">
      <w:pPr>
        <w:pStyle w:val="278"/>
        <w:spacing w:before="0" w:after="0" w:line="460" w:lineRule="exact"/>
        <w:ind w:left="0" w:right="0" w:firstLine="562"/>
        <w:jc w:val="left"/>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一、项目背景</w:t>
      </w:r>
    </w:p>
    <w:p w14:paraId="697AB266">
      <w:pPr>
        <w:spacing w:line="460" w:lineRule="exact"/>
        <w:ind w:firstLine="426"/>
        <w:contextualSpacing/>
        <w:jc w:val="left"/>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drawing>
          <wp:anchor distT="0" distB="0" distL="114300" distR="114300" simplePos="0" relativeHeight="251659264" behindDoc="0" locked="0" layoutInCell="1" allowOverlap="1">
            <wp:simplePos x="0" y="0"/>
            <wp:positionH relativeFrom="column">
              <wp:posOffset>20320</wp:posOffset>
            </wp:positionH>
            <wp:positionV relativeFrom="paragraph">
              <wp:posOffset>1520190</wp:posOffset>
            </wp:positionV>
            <wp:extent cx="5520055" cy="6441440"/>
            <wp:effectExtent l="0" t="0" r="4445" b="0"/>
            <wp:wrapSquare wrapText="bothSides"/>
            <wp:docPr id="1442790566" name="图片 1" descr="图形用户界面, 图示,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90566" name="图片 1" descr="图形用户界面, 图示, 应用程序&#10;&#10;AI 生成的内容可能不正确。"/>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520055" cy="6441440"/>
                    </a:xfrm>
                    <a:prstGeom prst="rect">
                      <a:avLst/>
                    </a:prstGeom>
                  </pic:spPr>
                </pic:pic>
              </a:graphicData>
            </a:graphic>
          </wp:anchor>
        </w:drawing>
      </w:r>
      <w:r>
        <w:rPr>
          <w:rFonts w:hint="eastAsia" w:ascii="宋体" w:hAnsi="宋体" w:cs="宋体"/>
          <w:color w:val="000000" w:themeColor="text1"/>
          <w:sz w:val="28"/>
          <w:szCs w:val="28"/>
          <w14:textFill>
            <w14:solidFill>
              <w14:schemeClr w14:val="tx1"/>
            </w14:solidFill>
          </w14:textFill>
        </w:rPr>
        <w:t>南京师范大学中北学院位于江苏省丹阳市正德路8号，占地总面积900亩。学校现有校园网络采用传统以太网架构，由丹阳市教育投资发展有限公司于2017年至2018年间建设，亟需进行整体升级改造。</w:t>
      </w:r>
    </w:p>
    <w:p w14:paraId="231AD97C">
      <w:pPr>
        <w:pStyle w:val="278"/>
        <w:spacing w:before="0" w:after="0" w:line="460" w:lineRule="exact"/>
        <w:ind w:left="0" w:right="0" w:firstLine="562"/>
        <w:jc w:val="left"/>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二、项目内容</w:t>
      </w:r>
    </w:p>
    <w:p w14:paraId="399EC35C">
      <w:pPr>
        <w:widowControl/>
        <w:shd w:val="clear" w:color="auto" w:fill="FFFFFF"/>
        <w:spacing w:line="460" w:lineRule="exact"/>
        <w:ind w:firstLine="562"/>
        <w:jc w:val="left"/>
        <w:rPr>
          <w:rFonts w:ascii="宋体" w:hAnsi="宋体" w:cs="宋体"/>
          <w:color w:val="000000" w:themeColor="text1"/>
          <w:sz w:val="28"/>
          <w:szCs w:val="28"/>
          <w:shd w:val="clear" w:color="auto" w:fill="FFFFFF"/>
          <w14:textFill>
            <w14:solidFill>
              <w14:schemeClr w14:val="tx1"/>
            </w14:solidFill>
          </w14:textFill>
        </w:rPr>
      </w:pPr>
      <w:r>
        <w:rPr>
          <w:rFonts w:hint="eastAsia" w:ascii="宋体" w:hAnsi="宋体" w:cs="宋体"/>
          <w:color w:val="000000" w:themeColor="text1"/>
          <w:sz w:val="28"/>
          <w:szCs w:val="28"/>
          <w:shd w:val="clear" w:color="auto" w:fill="FFFFFF"/>
          <w14:textFill>
            <w14:solidFill>
              <w14:schemeClr w14:val="tx1"/>
            </w14:solidFill>
          </w14:textFill>
        </w:rPr>
        <w:t>本项目为校园全光网络改造、室外全光无线覆盖以及与南京师范大学校园主校区网络互通等的咨询设计服务商采购项目，相关设计建设范围涵盖校园内全部建筑，包括1-7号宿舍楼、第一及第二教学楼、大学生活动中心、实验办公大楼A/B、美术楼、行政楼、音乐楼、第一及第二食堂、管理楼、人文楼、图书馆等，并对校园室外重点区域进行全光无线覆盖。</w:t>
      </w:r>
    </w:p>
    <w:p w14:paraId="3C99C623">
      <w:pPr>
        <w:widowControl/>
        <w:shd w:val="clear" w:color="auto" w:fill="FFFFFF"/>
        <w:spacing w:line="460" w:lineRule="exact"/>
        <w:ind w:firstLine="562"/>
        <w:jc w:val="left"/>
        <w:rPr>
          <w:rFonts w:ascii="宋体" w:hAnsi="宋体" w:cs="宋体"/>
          <w:color w:val="000000" w:themeColor="text1"/>
          <w:sz w:val="28"/>
          <w:szCs w:val="28"/>
          <w:shd w:val="clear" w:color="auto" w:fill="FFFFFF"/>
          <w14:textFill>
            <w14:solidFill>
              <w14:schemeClr w14:val="tx1"/>
            </w14:solidFill>
          </w14:textFill>
        </w:rPr>
      </w:pPr>
      <w:r>
        <w:rPr>
          <w:rFonts w:hint="eastAsia" w:ascii="宋体" w:hAnsi="宋体" w:cs="宋体"/>
          <w:color w:val="000000" w:themeColor="text1"/>
          <w:sz w:val="28"/>
          <w:szCs w:val="28"/>
          <w:shd w:val="clear" w:color="auto" w:fill="FFFFFF"/>
          <w14:textFill>
            <w14:solidFill>
              <w14:schemeClr w14:val="tx1"/>
            </w14:solidFill>
          </w14:textFill>
        </w:rPr>
        <w:t>设计方案应遵循“技术先进、架构合理、性能稳定、安全可靠、扩展性强、绿色节能”的原则，紧密对接“光网江苏”与“数字江苏”建设导向，基于全光网络技术构建一体化校园网络平台，实现有线与无线网络的深度融合，全面支撑教学、科研、管理与生活等多业务场景对高带宽、低时延、广覆盖的网络需求。</w:t>
      </w:r>
    </w:p>
    <w:p w14:paraId="72530EA5">
      <w:pPr>
        <w:pStyle w:val="278"/>
        <w:spacing w:before="0" w:after="0" w:line="460" w:lineRule="exact"/>
        <w:ind w:left="0" w:right="0" w:firstLine="562"/>
        <w:jc w:val="left"/>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三、技术要求</w:t>
      </w:r>
    </w:p>
    <w:p w14:paraId="7765B94A">
      <w:pPr>
        <w:spacing w:line="460" w:lineRule="exact"/>
        <w:ind w:firstLine="562"/>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（一）整体技术要求</w:t>
      </w:r>
    </w:p>
    <w:p w14:paraId="148234B6">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基于"以太光+PON”融合架构，针对教室、宿舍、办公楼、实验室、体育场馆、室外等多场景的差异化业务需求，提供灵活高效的组网模式。</w:t>
      </w:r>
    </w:p>
    <w:p w14:paraId="622CE216">
      <w:pPr>
        <w:spacing w:line="460" w:lineRule="exact"/>
        <w:ind w:firstLine="560"/>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1.承载网技术要求</w:t>
      </w:r>
    </w:p>
    <w:p w14:paraId="6EEA5A21">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核心设备双机部署、线路冗余，有线、无线全覆盖；全网支持IPv4/IPv6双栈服务，IP地址、DNS统一分配管理。</w:t>
      </w:r>
    </w:p>
    <w:p w14:paraId="2F9092A9">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无源全光网采用XGS-PON标准，BRAS-&gt;接入核心-&gt;OLT之间的核心网络≥40G；OLT-&gt;ONU/PONAP之间的主干≥10G到房间，采用1:8的分光比。</w:t>
      </w:r>
    </w:p>
    <w:p w14:paraId="58571BCF">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以太全光网采用接入核心-&gt;楼栋汇聚≥40G，楼栋汇聚-&gt;房间接入≥10G。</w:t>
      </w:r>
    </w:p>
    <w:p w14:paraId="20D2B9CE">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房间至终端1G或2.5G接入，满足大流量、高并发、低延时的网络应用需要。</w:t>
      </w:r>
    </w:p>
    <w:p w14:paraId="4F2ED300">
      <w:pPr>
        <w:spacing w:line="460" w:lineRule="exact"/>
        <w:ind w:firstLine="562"/>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2.无线网技术要求</w:t>
      </w:r>
    </w:p>
    <w:p w14:paraId="5261858F">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无线网络系统采用无线控制器AC+无线接入点AP设备部署方式，即“瘦AP”的方式运行，实现AC对所有无线AP进行统一管理（如：AP的SSID、认证方式、客户端配置、接入点网络中的配置、信道参数、发射功率等），最终实现无线覆盖区域内信道彼此没有干扰，用户可实现无线无缝漫游。</w:t>
      </w:r>
    </w:p>
    <w:p w14:paraId="024DA1A2">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（2）无线网络采用符合IEEE 802.11ax（Wi-Fi 6）或 IEEE 802.11be（Wi-Fi 7） 标准的高性能无线 AP，Wi-Fi 6 设备支持 160MHz 信道带宽、1024-QAM 调制，Wi-Fi 7 设备支持 320MHz 信道带宽、4096-QAM 调制及多链路操作（MLO）等核心特性，构建面向未来的高吞吐、低时延无线网络，保障校园无线基础设施的长期技术领先性与可持续演进能力。</w:t>
      </w:r>
    </w:p>
    <w:p w14:paraId="773E7FCB">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（3）覆盖质量保证：</w:t>
      </w:r>
      <w:r>
        <w:rPr>
          <w:rFonts w:hint="eastAsia" w:ascii="宋体" w:hAnsi="宋体" w:cs="宋体"/>
          <w:sz w:val="28"/>
          <w:szCs w:val="21"/>
        </w:rPr>
        <w:t>响应</w:t>
      </w:r>
      <w:r>
        <w:rPr>
          <w:rFonts w:hint="eastAsia" w:ascii="宋体" w:hAnsi="宋体" w:cs="宋体"/>
          <w:color w:val="000000" w:themeColor="text1"/>
          <w:sz w:val="28"/>
          <w:szCs w:val="28"/>
          <w14:textFill>
            <w14:solidFill>
              <w14:schemeClr w14:val="tx1"/>
            </w14:solidFill>
          </w14:textFill>
        </w:rPr>
        <w:t>人应确保室内目标区域实现无死角无线覆盖，覆盖区域包括但不限于房间、走廊、电梯间、楼梯间等公共区域，信号强度需满足以下标准：普通区域：RSSI ≥ -65dBm，信噪比（SNR）≥25dB；高密度或关键区域（如教室、会议室、大堂等）：RSSI ≥ -55dBm，信噪比（SNR）≥30dB。</w:t>
      </w:r>
    </w:p>
    <w:p w14:paraId="3F1E1841">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（4）前端 AP 等终端设备的供电方案应具备高度灵活性，支持传统的 220V 强电集中供电模式（由强电间引出）、光电复合缆供电模式</w:t>
      </w:r>
      <w:r>
        <w:rPr>
          <w:rStyle w:val="37"/>
          <w:rFonts w:hint="eastAsia" w:ascii="宋体" w:hAnsi="宋体" w:cs="宋体"/>
          <w:color w:val="000000" w:themeColor="text1"/>
          <w:sz w:val="28"/>
          <w:szCs w:val="28"/>
          <w14:textFill>
            <w14:solidFill>
              <w14:schemeClr w14:val="tx1"/>
            </w14:solidFill>
          </w14:textFill>
        </w:rPr>
        <w:t>或两者混合部署</w:t>
      </w:r>
      <w:r>
        <w:rPr>
          <w:rFonts w:hint="eastAsia" w:ascii="宋体" w:hAnsi="宋体" w:cs="宋体"/>
          <w:color w:val="000000" w:themeColor="text1"/>
          <w:sz w:val="28"/>
          <w:szCs w:val="28"/>
          <w14:textFill>
            <w14:solidFill>
              <w14:schemeClr w14:val="tx1"/>
            </w14:solidFill>
          </w14:textFill>
        </w:rPr>
        <w:t>。</w:t>
      </w:r>
    </w:p>
    <w:p w14:paraId="765469B7">
      <w:pPr>
        <w:spacing w:line="460" w:lineRule="exact"/>
        <w:ind w:firstLine="562"/>
        <w:rPr>
          <w:rFonts w:ascii="宋体" w:hAnsi="宋体" w:cs="宋体"/>
          <w:b/>
          <w:color w:val="000000" w:themeColor="text1"/>
          <w:sz w:val="28"/>
          <w:szCs w:val="28"/>
          <w14:textFill>
            <w14:solidFill>
              <w14:schemeClr w14:val="tx1"/>
            </w14:solidFill>
          </w14:textFill>
        </w:rPr>
      </w:pPr>
      <w:r>
        <w:rPr>
          <w:rFonts w:ascii="宋体" w:hAnsi="宋体" w:cs="宋体"/>
          <w:b/>
          <w:color w:val="000000" w:themeColor="text1"/>
          <w:sz w:val="28"/>
          <w:szCs w:val="28"/>
          <w14:textFill>
            <w14:solidFill>
              <w14:schemeClr w14:val="tx1"/>
            </w14:solidFill>
          </w14:textFill>
        </w:rPr>
        <w:t>3. 网络管理技术要求</w:t>
      </w:r>
    </w:p>
    <w:p w14:paraId="6487404C">
      <w:pPr>
        <w:spacing w:line="460" w:lineRule="exact"/>
        <w:ind w:firstLine="560"/>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t>校园网络应以统一运维管理平台为核心，实现对有线网络、无线AP、PON设备及终端设备的一体化纳入与全栈融合管理。</w:t>
      </w:r>
    </w:p>
    <w:p w14:paraId="3A9E4A36">
      <w:pPr>
        <w:spacing w:line="460" w:lineRule="exact"/>
        <w:ind w:firstLine="560"/>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t>通过升级校园统一认证系统、宽带远程接入服务设备（BRAS）及出口安全防护体系，并与统一运维管理平台联动，构建基于实名制的统一身份认证服务体系（落实“一人一账号”），实施AAA认证策略，确保网络访问全程安全可控、身份可追溯。</w:t>
      </w:r>
    </w:p>
    <w:p w14:paraId="6517B4AE">
      <w:pPr>
        <w:spacing w:line="460" w:lineRule="exact"/>
        <w:ind w:firstLine="562"/>
        <w:rPr>
          <w:rFonts w:ascii="宋体" w:hAnsi="宋体" w:cs="宋体"/>
          <w:b/>
          <w:color w:val="000000" w:themeColor="text1"/>
          <w:sz w:val="28"/>
          <w:szCs w:val="28"/>
          <w14:textFill>
            <w14:solidFill>
              <w14:schemeClr w14:val="tx1"/>
            </w14:solidFill>
          </w14:textFill>
        </w:rPr>
      </w:pPr>
      <w:r>
        <w:rPr>
          <w:rFonts w:ascii="宋体" w:hAnsi="宋体" w:cs="宋体"/>
          <w:b/>
          <w:color w:val="000000" w:themeColor="text1"/>
          <w:sz w:val="28"/>
          <w:szCs w:val="28"/>
          <w14:textFill>
            <w14:solidFill>
              <w14:schemeClr w14:val="tx1"/>
            </w14:solidFill>
          </w14:textFill>
        </w:rPr>
        <w:t>4. 数据中心管理技术要求</w:t>
      </w:r>
    </w:p>
    <w:p w14:paraId="6591D2C8">
      <w:pPr>
        <w:spacing w:line="460" w:lineRule="exact"/>
        <w:ind w:firstLine="560"/>
        <w:rPr>
          <w:rFonts w:ascii="宋体" w:hAnsi="宋体" w:cs="宋体"/>
          <w:color w:val="000000" w:themeColor="text1"/>
          <w:sz w:val="28"/>
          <w:szCs w:val="28"/>
          <w14:textFill>
            <w14:solidFill>
              <w14:schemeClr w14:val="tx1"/>
            </w14:solidFill>
          </w14:textFill>
        </w:rPr>
      </w:pPr>
      <w:r>
        <w:rPr>
          <w:rFonts w:ascii="宋体" w:hAnsi="宋体" w:cs="宋体"/>
          <w:color w:val="000000" w:themeColor="text1"/>
          <w:sz w:val="28"/>
          <w:szCs w:val="28"/>
          <w14:textFill>
            <w14:solidFill>
              <w14:schemeClr w14:val="tx1"/>
            </w14:solidFill>
          </w14:textFill>
        </w:rPr>
        <w:t>升级数据中心基础设施与管理系统，具体包括：</w:t>
      </w:r>
    </w:p>
    <w:p w14:paraId="26502257">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w:t>
      </w:r>
      <w:r>
        <w:rPr>
          <w:rFonts w:ascii="宋体" w:hAnsi="宋体" w:cs="宋体"/>
          <w:color w:val="000000" w:themeColor="text1"/>
          <w:sz w:val="28"/>
          <w:szCs w:val="28"/>
          <w14:textFill>
            <w14:solidFill>
              <w14:schemeClr w14:val="tx1"/>
            </w14:solidFill>
          </w14:textFill>
        </w:rPr>
        <w:t>动力环境监控系统（动环），实现对温湿度、供配电、漏水、消防等关键参数的实时监测与智能告警</w:t>
      </w:r>
      <w:r>
        <w:rPr>
          <w:rFonts w:hint="eastAsia" w:ascii="宋体" w:hAnsi="宋体" w:cs="宋体"/>
          <w:color w:val="000000" w:themeColor="text1"/>
          <w:sz w:val="28"/>
          <w:szCs w:val="28"/>
          <w14:textFill>
            <w14:solidFill>
              <w14:schemeClr w14:val="tx1"/>
            </w14:solidFill>
          </w14:textFill>
        </w:rPr>
        <w:t>。</w:t>
      </w:r>
    </w:p>
    <w:p w14:paraId="5F972A08">
      <w:pPr>
        <w:spacing w:line="460" w:lineRule="exact"/>
        <w:ind w:firstLine="56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w:t>
      </w:r>
      <w:r>
        <w:rPr>
          <w:rFonts w:ascii="宋体" w:hAnsi="宋体" w:cs="宋体"/>
          <w:color w:val="000000" w:themeColor="text1"/>
          <w:sz w:val="28"/>
          <w:szCs w:val="28"/>
          <w14:textFill>
            <w14:solidFill>
              <w14:schemeClr w14:val="tx1"/>
            </w14:solidFill>
          </w14:textFill>
        </w:rPr>
        <w:t>门禁与安防系统，集成人脸识别、刷卡及视频监控，实现出入权限精细化管理与操作审计。</w:t>
      </w:r>
    </w:p>
    <w:p w14:paraId="3C469368">
      <w:pPr>
        <w:pStyle w:val="278"/>
        <w:spacing w:before="0" w:after="0" w:line="460" w:lineRule="exact"/>
        <w:ind w:left="562" w:right="0" w:firstLine="0"/>
        <w:jc w:val="left"/>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四、设计服务及交付要求</w:t>
      </w:r>
    </w:p>
    <w:p w14:paraId="1FA2B973">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shd w:val="clear" w:color="auto" w:fill="FFFFFF"/>
          <w14:textFill>
            <w14:solidFill>
              <w14:schemeClr w14:val="tx1"/>
            </w14:solidFill>
          </w14:textFill>
        </w:rPr>
        <w:t>服务商</w:t>
      </w:r>
      <w:r>
        <w:rPr>
          <w:rFonts w:ascii="宋体" w:hAnsi="宋体" w:cs="宋体"/>
          <w:color w:val="000000" w:themeColor="text1"/>
          <w:sz w:val="28"/>
          <w:szCs w:val="28"/>
          <w14:textFill>
            <w14:solidFill>
              <w14:schemeClr w14:val="tx1"/>
            </w14:solidFill>
          </w14:textFill>
        </w:rPr>
        <w:t>需在实地勘查校园既有网络基础设施的基础上，开展全流程设计服务，具体包括：需求分析、方案设计、设备选型、管线规划、施工图设计、技术交底、预算编制等环节的审核及相关服务；同时配合项目实施阶段的招标、施工与验收工作，并提供后期运维建议。设计方案须严格遵从国家及行业相关标准规范，并符合江苏省《民用建筑光纤到户通信设施工程建设标准》的要求，确保项目具备可实施性、可维护性与可扩展性。</w:t>
      </w:r>
    </w:p>
    <w:p w14:paraId="4790072F">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（一）设计服务内容</w:t>
      </w:r>
    </w:p>
    <w:p w14:paraId="7BFEA4CD">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1.前期调研：深入校园各区域开展实地勘察，全面梳理现有网络基础设施（包括设备、线路、机房等）现状，精准分析各区域业务与网络承载需求，并形成详尽的现状调研与分析报告。</w:t>
      </w:r>
    </w:p>
    <w:p w14:paraId="2F3B6513">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方案设计：编制完整的全光网络改造与无线覆盖设计方案，内容涵盖整体网络架构、设备选型清单、管线规划、机房布局、施工组织方案及投资估算等。方案需通过多轮评审与优化，确保技术先进、经济合理与实施可行。</w:t>
      </w:r>
    </w:p>
    <w:p w14:paraId="0B1DE87F">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图纸设计：依据设计方案，绘制全套规范化施工图纸，包括但不限于网络系统图、各层平面布置图、管线综合敷设图、设备安装详图及接地施工图等。图纸须符合国家现行制图规范，做到标注清晰、数据准确，能够直接指导施工。</w:t>
      </w:r>
    </w:p>
    <w:p w14:paraId="136CA17C">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4.技术支持：协助招标人完成项目招标工作，提供准确的技术规格与参数，</w:t>
      </w:r>
      <w:r>
        <w:rPr>
          <w:rFonts w:hint="eastAsia" w:ascii="宋体" w:hAnsi="宋体" w:cs="宋体"/>
          <w:sz w:val="28"/>
          <w:szCs w:val="28"/>
        </w:rPr>
        <w:t>响应</w:t>
      </w:r>
      <w:r>
        <w:rPr>
          <w:rFonts w:hint="eastAsia" w:ascii="宋体" w:hAnsi="宋体" w:cs="宋体"/>
          <w:color w:val="000000" w:themeColor="text1"/>
          <w:sz w:val="28"/>
          <w:szCs w:val="28"/>
          <w14:textFill>
            <w14:solidFill>
              <w14:schemeClr w14:val="tx1"/>
            </w14:solidFill>
          </w14:textFill>
        </w:rPr>
        <w:t>各类技术询问；在施工阶段负责进行技术交底，提供现场技术指导，及时解决与设计相关的施工问题；配合完成项目竣工验收，提交完整的技术验收文件，并协助完成验收流程。</w:t>
      </w:r>
    </w:p>
    <w:p w14:paraId="2D526BF9">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5.预算编制：依据设计方案、图纸及当期市场信息，编制详细的项目建设投资预算。预算文件应包括但不限于：设备材料费、施工费、监理费、检测费、预备费、运维费等各项费用构成分析、计价依据说明及汇总表，确保预算全面、准确、合规，满足项目成本控制与招标采购要求。</w:t>
      </w:r>
    </w:p>
    <w:p w14:paraId="16497106">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6.后期服务：提供项目专项运维建议方案，涵盖设备维护规程、线路保养计划、故障应急处理流程等内容。在质保期内，提供免费的设计优化支持；质保期外，可继续提供有偿技术咨询与方案升级服务。</w:t>
      </w:r>
    </w:p>
    <w:p w14:paraId="774185A8">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（二）交付成果</w:t>
      </w:r>
    </w:p>
    <w:p w14:paraId="27B17E63">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  纸质资料：调研报告、设计方案、施工图纸、设备选型清单、投资估算报告、技术交底记录等，均需提供正本1份、副本1份，装订成册并加盖设计单位公章。</w:t>
      </w:r>
    </w:p>
    <w:p w14:paraId="5F4A5549">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  电子资料：所有交付成果需提供电子版（U盘和光盘存储），包括Word文档、Excel表格、AutoCAD图纸（.dwg格式）、PDF文件等，确保可编辑、可打印。</w:t>
      </w:r>
    </w:p>
    <w:p w14:paraId="41B6A9A3">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（三）服务期限</w:t>
      </w:r>
    </w:p>
    <w:p w14:paraId="17969D12">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合同签订之日起至完成全部服务内容止，30日内完成项目全部设计工作内容。</w:t>
      </w:r>
    </w:p>
    <w:p w14:paraId="081480A0">
      <w:pPr>
        <w:widowControl/>
        <w:shd w:val="clear" w:color="auto" w:fill="FFFFFF"/>
        <w:spacing w:line="460" w:lineRule="exact"/>
        <w:ind w:firstLine="562"/>
        <w:jc w:val="left"/>
        <w:rPr>
          <w:rFonts w:ascii="宋体" w:hAnsi="宋体" w:cs="宋体"/>
          <w:color w:val="000000" w:themeColor="text1"/>
          <w:sz w:val="28"/>
          <w:szCs w:val="28"/>
          <w14:textFill>
            <w14:solidFill>
              <w14:schemeClr w14:val="tx1"/>
            </w14:solidFill>
          </w14:textFill>
        </w:rPr>
      </w:pPr>
    </w:p>
    <w:p w14:paraId="15973FBC">
      <w:pPr>
        <w:pStyle w:val="278"/>
        <w:spacing w:before="0" w:after="0" w:line="460" w:lineRule="exact"/>
        <w:ind w:left="0" w:right="0" w:firstLine="562"/>
        <w:jc w:val="left"/>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五、★商务要求</w:t>
      </w:r>
    </w:p>
    <w:p w14:paraId="6674DF51">
      <w:pPr>
        <w:widowControl/>
        <w:shd w:val="clear" w:color="auto" w:fill="FFFFFF"/>
        <w:spacing w:line="460" w:lineRule="exact"/>
        <w:ind w:firstLine="562"/>
        <w:jc w:val="left"/>
        <w:rPr>
          <w:rFonts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1、</w:t>
      </w:r>
      <w:r>
        <w:rPr>
          <w:rFonts w:hint="eastAsia" w:ascii="宋体" w:hAnsi="宋体" w:cs="宋体"/>
          <w:sz w:val="28"/>
          <w:szCs w:val="21"/>
        </w:rPr>
        <w:t>响应</w:t>
      </w:r>
      <w:r>
        <w:rPr>
          <w:rFonts w:hint="eastAsia" w:ascii="宋体" w:hAnsi="宋体" w:cs="宋体"/>
          <w:bCs/>
          <w:color w:val="000000" w:themeColor="text1"/>
          <w:sz w:val="28"/>
          <w:szCs w:val="28"/>
          <w14:textFill>
            <w14:solidFill>
              <w14:schemeClr w14:val="tx1"/>
            </w14:solidFill>
          </w14:textFill>
        </w:rPr>
        <w:t>人基本资格要求</w:t>
      </w:r>
    </w:p>
    <w:p w14:paraId="2CA82654">
      <w:pPr>
        <w:pStyle w:val="85"/>
        <w:tabs>
          <w:tab w:val="left" w:pos="993"/>
        </w:tabs>
        <w:adjustRightInd w:val="0"/>
        <w:snapToGrid w:val="0"/>
        <w:spacing w:line="440" w:lineRule="exact"/>
        <w:ind w:left="0" w:firstLine="560" w:firstLineChars="200"/>
        <w:rPr>
          <w:rFonts w:ascii="宋体" w:hAnsi="宋体" w:cs="宋体"/>
          <w:bCs/>
          <w:color w:val="000000" w:themeColor="text1"/>
          <w:sz w:val="28"/>
          <w:szCs w:val="28"/>
          <w14:textFill>
            <w14:solidFill>
              <w14:schemeClr w14:val="tx1"/>
            </w14:solidFill>
          </w14:textFill>
        </w:rPr>
      </w:pPr>
      <w:r>
        <w:rPr>
          <w:rFonts w:hint="eastAsia" w:ascii="宋体" w:hAnsi="宋体" w:cs="宋体"/>
          <w:sz w:val="28"/>
          <w:szCs w:val="21"/>
        </w:rPr>
        <w:t>响应</w:t>
      </w:r>
      <w:r>
        <w:rPr>
          <w:rFonts w:hint="eastAsia" w:ascii="宋体" w:hAnsi="宋体" w:cs="宋体"/>
          <w:bCs/>
          <w:color w:val="000000" w:themeColor="text1"/>
          <w:sz w:val="28"/>
          <w:szCs w:val="28"/>
          <w14:textFill>
            <w14:solidFill>
              <w14:schemeClr w14:val="tx1"/>
            </w14:solidFill>
          </w14:textFill>
        </w:rPr>
        <w:t>人需具备由住房和城乡建设部或其下属行政机构颁发的合法有效的以下设计资质：</w:t>
      </w:r>
    </w:p>
    <w:p w14:paraId="58F25F56">
      <w:pPr>
        <w:pStyle w:val="85"/>
        <w:tabs>
          <w:tab w:val="left" w:pos="993"/>
        </w:tabs>
        <w:adjustRightInd w:val="0"/>
        <w:snapToGrid w:val="0"/>
        <w:spacing w:line="440" w:lineRule="exact"/>
        <w:ind w:left="0" w:firstLine="560" w:firstLineChars="200"/>
        <w:rPr>
          <w:rFonts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工程设计电子通信广电行业有线通信专业甲级及以上资质。</w:t>
      </w:r>
    </w:p>
    <w:p w14:paraId="18F39D5A">
      <w:pPr>
        <w:pStyle w:val="85"/>
        <w:tabs>
          <w:tab w:val="left" w:pos="993"/>
        </w:tabs>
        <w:adjustRightInd w:val="0"/>
        <w:snapToGrid w:val="0"/>
        <w:spacing w:line="440" w:lineRule="exact"/>
        <w:ind w:left="0" w:firstLine="560" w:firstLineChars="200"/>
        <w:rPr>
          <w:rFonts w:ascii="宋体" w:hAnsi="宋体" w:cs="宋体"/>
          <w:bCs/>
          <w:color w:val="000000" w:themeColor="text1"/>
          <w:sz w:val="28"/>
          <w:szCs w:val="28"/>
          <w14:textFill>
            <w14:solidFill>
              <w14:schemeClr w14:val="tx1"/>
            </w14:solidFill>
          </w14:textFill>
        </w:rPr>
      </w:pPr>
      <w:r>
        <w:rPr>
          <w:rFonts w:ascii="宋体" w:hAnsi="宋体" w:cs="宋体"/>
          <w:bCs/>
          <w:color w:val="000000" w:themeColor="text1"/>
          <w:sz w:val="28"/>
          <w:szCs w:val="28"/>
          <w14:textFill>
            <w14:solidFill>
              <w14:schemeClr w14:val="tx1"/>
            </w14:solidFill>
          </w14:textFill>
        </w:rPr>
        <w:t>2</w:t>
      </w:r>
      <w:r>
        <w:rPr>
          <w:rFonts w:hint="eastAsia" w:ascii="宋体" w:hAnsi="宋体" w:cs="宋体"/>
          <w:bCs/>
          <w:color w:val="000000" w:themeColor="text1"/>
          <w:sz w:val="28"/>
          <w:szCs w:val="28"/>
          <w14:textFill>
            <w14:solidFill>
              <w14:schemeClr w14:val="tx1"/>
            </w14:solidFill>
          </w14:textFill>
        </w:rPr>
        <w:t>、付款方式</w:t>
      </w:r>
    </w:p>
    <w:p w14:paraId="54E853EB">
      <w:pPr>
        <w:pStyle w:val="85"/>
        <w:tabs>
          <w:tab w:val="left" w:pos="993"/>
        </w:tabs>
        <w:adjustRightInd w:val="0"/>
        <w:snapToGrid w:val="0"/>
        <w:spacing w:line="440" w:lineRule="exact"/>
        <w:ind w:left="0" w:firstLine="560" w:firstLineChars="200"/>
        <w:rPr>
          <w:rFonts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合同签订后支付合同总价30%，设计通过专家评审后支付合同总价50%，项目验收后支付合同总价20%尾款；</w:t>
      </w:r>
    </w:p>
    <w:p w14:paraId="6FE8507C">
      <w:pPr>
        <w:pStyle w:val="85"/>
        <w:tabs>
          <w:tab w:val="left" w:pos="993"/>
        </w:tabs>
        <w:adjustRightInd w:val="0"/>
        <w:snapToGrid w:val="0"/>
        <w:spacing w:line="440" w:lineRule="exact"/>
        <w:ind w:left="0" w:firstLine="562" w:firstLineChars="200"/>
        <w:rPr>
          <w:rFonts w:ascii="宋体" w:hAnsi="宋体" w:cs="宋体"/>
          <w:b/>
          <w:bCs/>
          <w:color w:val="000000" w:themeColor="text1"/>
          <w:sz w:val="28"/>
          <w:szCs w:val="28"/>
          <w14:textFill>
            <w14:solidFill>
              <w14:schemeClr w14:val="tx1"/>
            </w14:solidFill>
          </w14:textFill>
        </w:rPr>
      </w:pPr>
    </w:p>
    <w:p w14:paraId="3E649763">
      <w:pPr>
        <w:pStyle w:val="278"/>
        <w:spacing w:before="0" w:after="0" w:line="460" w:lineRule="exact"/>
        <w:ind w:left="0" w:right="0" w:firstLine="562"/>
        <w:jc w:val="left"/>
        <w:outlineLvl w:val="1"/>
        <w:rPr>
          <w:rFonts w:ascii="宋体" w:hAnsi="宋体" w:cs="宋体"/>
          <w:b/>
          <w:color w:val="000000" w:themeColor="text1"/>
          <w:sz w:val="28"/>
          <w:szCs w:val="28"/>
          <w14:textFill>
            <w14:solidFill>
              <w14:schemeClr w14:val="tx1"/>
            </w14:solidFill>
          </w14:textFill>
        </w:rPr>
      </w:pPr>
      <w:bookmarkStart w:id="3" w:name="OLE_LINK2"/>
      <w:bookmarkStart w:id="4" w:name="OLE_LINK1"/>
      <w:r>
        <w:rPr>
          <w:rFonts w:hint="eastAsia" w:ascii="宋体" w:hAnsi="宋体" w:cs="宋体"/>
          <w:b/>
          <w:color w:val="000000" w:themeColor="text1"/>
          <w:sz w:val="28"/>
          <w:szCs w:val="28"/>
          <w14:textFill>
            <w14:solidFill>
              <w14:schemeClr w14:val="tx1"/>
            </w14:solidFill>
          </w14:textFill>
        </w:rPr>
        <w:t xml:space="preserve">六、现场勘察 </w:t>
      </w:r>
    </w:p>
    <w:p w14:paraId="341091FF">
      <w:pPr>
        <w:tabs>
          <w:tab w:val="left" w:pos="5325"/>
        </w:tabs>
        <w:spacing w:line="460" w:lineRule="exact"/>
        <w:ind w:firstLine="560"/>
        <w:contextualSpacing/>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根据项目建设需求及复杂性，</w:t>
      </w:r>
      <w:r>
        <w:rPr>
          <w:rFonts w:hint="eastAsia" w:ascii="宋体" w:hAnsi="宋体" w:cs="宋体"/>
          <w:sz w:val="28"/>
          <w:szCs w:val="21"/>
        </w:rPr>
        <w:t>响应</w:t>
      </w:r>
      <w:r>
        <w:rPr>
          <w:rFonts w:hint="eastAsia" w:ascii="宋体" w:hAnsi="宋体" w:cs="宋体"/>
          <w:color w:val="000000" w:themeColor="text1"/>
          <w:sz w:val="28"/>
          <w:szCs w:val="28"/>
          <w14:textFill>
            <w14:solidFill>
              <w14:schemeClr w14:val="tx1"/>
            </w14:solidFill>
          </w14:textFill>
        </w:rPr>
        <w:t>人</w:t>
      </w:r>
      <w:r>
        <w:rPr>
          <w:rFonts w:hint="eastAsia" w:ascii="宋体" w:hAnsi="宋体" w:cs="宋体"/>
          <w:color w:val="000000" w:themeColor="text1"/>
          <w:sz w:val="28"/>
          <w:szCs w:val="28"/>
          <w:shd w:val="clear" w:color="auto" w:fill="FFFFFF"/>
          <w14:textFill>
            <w14:solidFill>
              <w14:schemeClr w14:val="tx1"/>
            </w14:solidFill>
          </w14:textFill>
        </w:rPr>
        <w:t>可集中勘察</w:t>
      </w:r>
      <w:r>
        <w:rPr>
          <w:rFonts w:hint="eastAsia" w:ascii="宋体" w:hAnsi="宋体" w:cs="宋体"/>
          <w:color w:val="000000" w:themeColor="text1"/>
          <w:sz w:val="28"/>
          <w:szCs w:val="28"/>
          <w14:textFill>
            <w14:solidFill>
              <w14:schemeClr w14:val="tx1"/>
            </w14:solidFill>
          </w14:textFill>
        </w:rPr>
        <w:t>，掌握有关现场的数据和资料，以便提供详细的图纸设计方案。</w:t>
      </w:r>
    </w:p>
    <w:p w14:paraId="7ABDC617">
      <w:pPr>
        <w:pStyle w:val="258"/>
        <w:shd w:val="clear" w:color="auto" w:fill="FFFFFF"/>
        <w:spacing w:before="0" w:beforeAutospacing="0" w:after="0" w:afterAutospacing="0" w:line="460" w:lineRule="exact"/>
        <w:ind w:firstLine="560"/>
        <w:jc w:val="both"/>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1.</w:t>
      </w:r>
      <w:r>
        <w:rPr>
          <w:rFonts w:hint="eastAsia" w:cs="宋体"/>
          <w:color w:val="000000" w:themeColor="text1"/>
          <w:sz w:val="28"/>
          <w:szCs w:val="28"/>
          <w:shd w:val="clear" w:color="auto" w:fill="FFFFFF"/>
          <w14:textFill>
            <w14:solidFill>
              <w14:schemeClr w14:val="tx1"/>
            </w14:solidFill>
          </w14:textFill>
        </w:rPr>
        <w:t>服务</w:t>
      </w:r>
      <w:r>
        <w:rPr>
          <w:rFonts w:hint="eastAsia" w:cs="宋体"/>
          <w:color w:val="000000" w:themeColor="text1"/>
          <w:sz w:val="28"/>
          <w:szCs w:val="28"/>
          <w14:textFill>
            <w14:solidFill>
              <w14:schemeClr w14:val="tx1"/>
            </w14:solidFill>
          </w14:textFill>
        </w:rPr>
        <w:t>商可在</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文件递交之日前对有关现场和周围环境进行勘察，以获取编制</w:t>
      </w:r>
      <w:r>
        <w:rPr>
          <w:rFonts w:hint="eastAsia" w:cs="宋体"/>
          <w:color w:val="auto"/>
          <w:sz w:val="28"/>
          <w:szCs w:val="28"/>
        </w:rPr>
        <w:t>响应</w:t>
      </w:r>
      <w:r>
        <w:rPr>
          <w:rFonts w:hint="eastAsia" w:cs="宋体"/>
          <w:color w:val="000000" w:themeColor="text1"/>
          <w:sz w:val="28"/>
          <w:szCs w:val="28"/>
          <w14:textFill>
            <w14:solidFill>
              <w14:schemeClr w14:val="tx1"/>
            </w14:solidFill>
          </w14:textFill>
        </w:rPr>
        <w:t>文件和签署合同所需的信息。勘察现场所发生的费用由</w:t>
      </w:r>
      <w:r>
        <w:rPr>
          <w:rFonts w:hint="eastAsia" w:cs="宋体"/>
          <w:color w:val="000000" w:themeColor="text1"/>
          <w:sz w:val="28"/>
          <w:szCs w:val="28"/>
          <w:shd w:val="clear" w:color="auto" w:fill="FFFFFF"/>
          <w14:textFill>
            <w14:solidFill>
              <w14:schemeClr w14:val="tx1"/>
            </w14:solidFill>
          </w14:textFill>
        </w:rPr>
        <w:t>服务</w:t>
      </w:r>
      <w:r>
        <w:rPr>
          <w:rFonts w:hint="eastAsia" w:cs="宋体"/>
          <w:color w:val="000000" w:themeColor="text1"/>
          <w:sz w:val="28"/>
          <w:szCs w:val="28"/>
          <w14:textFill>
            <w14:solidFill>
              <w14:schemeClr w14:val="tx1"/>
            </w14:solidFill>
          </w14:textFill>
        </w:rPr>
        <w:t>商自己承担。</w:t>
      </w:r>
    </w:p>
    <w:p w14:paraId="5D65541E">
      <w:pPr>
        <w:pStyle w:val="258"/>
        <w:shd w:val="clear" w:color="auto" w:fill="FFFFFF"/>
        <w:spacing w:before="0" w:beforeAutospacing="0" w:after="0" w:afterAutospacing="0" w:line="460" w:lineRule="exact"/>
        <w:ind w:firstLine="560"/>
        <w:jc w:val="both"/>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2.</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向</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人提供的有关现场的资料和数据，是</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现有的并认为能使</w:t>
      </w:r>
      <w:r>
        <w:rPr>
          <w:rFonts w:hint="eastAsia" w:cs="宋体"/>
          <w:color w:val="000000" w:themeColor="text1"/>
          <w:sz w:val="28"/>
          <w:szCs w:val="28"/>
          <w:shd w:val="clear" w:color="auto" w:fill="FFFFFF"/>
          <w14:textFill>
            <w14:solidFill>
              <w14:schemeClr w14:val="tx1"/>
            </w14:solidFill>
          </w14:textFill>
        </w:rPr>
        <w:t>服务</w:t>
      </w:r>
      <w:r>
        <w:rPr>
          <w:rFonts w:hint="eastAsia" w:cs="宋体"/>
          <w:color w:val="000000" w:themeColor="text1"/>
          <w:sz w:val="28"/>
          <w:szCs w:val="28"/>
          <w14:textFill>
            <w14:solidFill>
              <w14:schemeClr w14:val="tx1"/>
            </w14:solidFill>
          </w14:textFill>
        </w:rPr>
        <w:t>商可利用的资料。</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对</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人由此而做出的推论、理解和结论概不负责。</w:t>
      </w:r>
    </w:p>
    <w:p w14:paraId="1358F52B">
      <w:pPr>
        <w:pStyle w:val="258"/>
        <w:shd w:val="clear" w:color="auto" w:fill="FFFFFF"/>
        <w:spacing w:before="0" w:beforeAutospacing="0" w:after="0" w:afterAutospacing="0" w:line="460" w:lineRule="exact"/>
        <w:ind w:firstLine="560"/>
        <w:jc w:val="both"/>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3.</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人进入现场勘察视为已确认现场条件，并承诺：遵守</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的安全管理制度，自行承担勘察中的人身及财产风险，对因故意或重大过失造成的</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损失承担赔偿责任。</w:t>
      </w:r>
    </w:p>
    <w:p w14:paraId="56C2262C">
      <w:pPr>
        <w:pStyle w:val="258"/>
        <w:shd w:val="clear" w:color="auto" w:fill="FFFFFF"/>
        <w:spacing w:before="0" w:beforeAutospacing="0" w:after="0" w:afterAutospacing="0" w:line="460" w:lineRule="exact"/>
        <w:ind w:firstLine="560"/>
        <w:jc w:val="both"/>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4.</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人自行承担因未充分了解现场情况而导致的风险。</w:t>
      </w:r>
      <w:r>
        <w:rPr>
          <w:rFonts w:hint="eastAsia" w:cs="宋体"/>
          <w:color w:val="000000" w:themeColor="text1"/>
          <w:sz w:val="28"/>
          <w:szCs w:val="28"/>
          <w:shd w:val="clear" w:color="auto" w:fill="FFFFFF"/>
          <w14:textFill>
            <w14:solidFill>
              <w14:schemeClr w14:val="tx1"/>
            </w14:solidFill>
          </w14:textFill>
        </w:rPr>
        <w:t>确定成交服务商</w:t>
      </w:r>
      <w:r>
        <w:rPr>
          <w:rFonts w:hint="eastAsia" w:cs="宋体"/>
          <w:color w:val="000000" w:themeColor="text1"/>
          <w:sz w:val="28"/>
          <w:szCs w:val="28"/>
          <w14:textFill>
            <w14:solidFill>
              <w14:schemeClr w14:val="tx1"/>
            </w14:solidFill>
          </w14:textFill>
        </w:rPr>
        <w:t>后，</w:t>
      </w:r>
      <w:r>
        <w:rPr>
          <w:rFonts w:hint="eastAsia" w:cs="宋体"/>
          <w:color w:val="auto"/>
          <w:sz w:val="28"/>
          <w:szCs w:val="21"/>
        </w:rPr>
        <w:t>响应</w:t>
      </w:r>
      <w:r>
        <w:rPr>
          <w:rFonts w:hint="eastAsia" w:cs="宋体"/>
          <w:color w:val="000000" w:themeColor="text1"/>
          <w:sz w:val="28"/>
          <w:szCs w:val="28"/>
          <w14:textFill>
            <w14:solidFill>
              <w14:schemeClr w14:val="tx1"/>
            </w14:solidFill>
          </w14:textFill>
        </w:rPr>
        <w:t>人不得以对现场条件的普通认知不足（如地形、交通、既有设施等）为由提出索赔，但</w:t>
      </w:r>
      <w:r>
        <w:rPr>
          <w:rFonts w:hint="eastAsia" w:cs="宋体"/>
          <w:color w:val="000000" w:themeColor="text1"/>
          <w:sz w:val="28"/>
          <w:szCs w:val="28"/>
          <w:shd w:val="clear" w:color="auto" w:fill="FFFFFF"/>
          <w14:textFill>
            <w14:solidFill>
              <w14:schemeClr w14:val="tx1"/>
            </w14:solidFill>
          </w14:textFill>
        </w:rPr>
        <w:t>学校</w:t>
      </w:r>
      <w:r>
        <w:rPr>
          <w:rFonts w:hint="eastAsia" w:cs="宋体"/>
          <w:color w:val="000000" w:themeColor="text1"/>
          <w:sz w:val="28"/>
          <w:szCs w:val="28"/>
          <w14:textFill>
            <w14:solidFill>
              <w14:schemeClr w14:val="tx1"/>
            </w14:solidFill>
          </w14:textFill>
        </w:rPr>
        <w:t>故意隐瞒或提供虚假信息的除外。</w:t>
      </w:r>
    </w:p>
    <w:p w14:paraId="03311ED1">
      <w:pPr>
        <w:spacing w:line="460" w:lineRule="exact"/>
        <w:ind w:firstLine="560"/>
        <w:contextualSpacing/>
        <w:jc w:val="left"/>
        <w:rPr>
          <w:rFonts w:ascii="宋体" w:hAnsi="宋体" w:cs="宋体"/>
          <w:color w:val="000000" w:themeColor="text1"/>
          <w:sz w:val="28"/>
          <w:szCs w:val="28"/>
          <w:highlight w:val="none"/>
          <w:shd w:val="clear" w:color="auto" w:fill="FFFFFF"/>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5.现场实地勘察时需携带营业执照副本原件及复印件、法定代表人的委托书、被委托人身份证原件等材料。</w:t>
      </w:r>
      <w:r>
        <w:rPr>
          <w:rFonts w:hint="eastAsia" w:ascii="宋体" w:hAnsi="宋体" w:cs="宋体"/>
          <w:color w:val="000000" w:themeColor="text1"/>
          <w:sz w:val="28"/>
          <w:szCs w:val="28"/>
          <w:shd w:val="clear" w:color="auto" w:fill="FFFFFF"/>
          <w14:textFill>
            <w14:solidFill>
              <w14:schemeClr w14:val="tx1"/>
            </w14:solidFill>
          </w14:textFill>
        </w:rPr>
        <w:t>集中勘察时间：</w:t>
      </w:r>
      <w:r>
        <w:rPr>
          <w:rFonts w:hint="eastAsia" w:ascii="宋体" w:hAnsi="宋体" w:cs="宋体"/>
          <w:color w:val="000000" w:themeColor="text1"/>
          <w:sz w:val="28"/>
          <w:szCs w:val="28"/>
          <w:shd w:val="clear" w:color="auto" w:fill="FFFFFF"/>
          <w:lang w:val="en-US" w:eastAsia="zh-CN"/>
          <w14:textFill>
            <w14:solidFill>
              <w14:schemeClr w14:val="tx1"/>
            </w14:solidFill>
          </w14:textFill>
        </w:rPr>
        <w:t>2026年3月23日下午14:</w:t>
      </w:r>
      <w:r>
        <w:rPr>
          <w:rFonts w:hint="eastAsia" w:ascii="宋体" w:hAnsi="宋体" w:cs="宋体"/>
          <w:color w:val="000000" w:themeColor="text1"/>
          <w:sz w:val="28"/>
          <w:szCs w:val="28"/>
          <w:highlight w:val="none"/>
          <w:shd w:val="clear" w:color="auto" w:fill="FFFFFF"/>
          <w:lang w:val="en-US" w:eastAsia="zh-CN"/>
          <w14:textFill>
            <w14:solidFill>
              <w14:schemeClr w14:val="tx1"/>
            </w14:solidFill>
          </w14:textFill>
        </w:rPr>
        <w:t>00</w:t>
      </w:r>
      <w:r>
        <w:rPr>
          <w:rFonts w:hint="eastAsia" w:ascii="宋体" w:hAnsi="宋体" w:cs="宋体"/>
          <w:color w:val="000000" w:themeColor="text1"/>
          <w:sz w:val="28"/>
          <w:szCs w:val="28"/>
          <w:highlight w:val="none"/>
          <w:shd w:val="clear" w:color="auto" w:fill="FFFFFF"/>
          <w14:textFill>
            <w14:solidFill>
              <w14:schemeClr w14:val="tx1"/>
            </w14:solidFill>
          </w14:textFill>
        </w:rPr>
        <w:t>，联系人：丁老师，联系方式：</w:t>
      </w:r>
      <w:r>
        <w:rPr>
          <w:rFonts w:ascii="宋体" w:hAnsi="宋体" w:cs="宋体"/>
          <w:color w:val="000000" w:themeColor="text1"/>
          <w:sz w:val="28"/>
          <w:szCs w:val="28"/>
          <w:highlight w:val="none"/>
          <w:shd w:val="clear" w:color="auto" w:fill="FFFFFF"/>
          <w14:textFill>
            <w14:solidFill>
              <w14:schemeClr w14:val="tx1"/>
            </w14:solidFill>
          </w14:textFill>
        </w:rPr>
        <w:t>0511-88150181</w:t>
      </w:r>
      <w:r>
        <w:rPr>
          <w:rFonts w:hint="eastAsia" w:ascii="宋体" w:hAnsi="宋体" w:cs="宋体"/>
          <w:color w:val="000000" w:themeColor="text1"/>
          <w:sz w:val="28"/>
          <w:szCs w:val="28"/>
          <w:highlight w:val="none"/>
          <w:shd w:val="clear" w:color="auto" w:fill="FFFFFF"/>
          <w:lang w:eastAsia="zh-CN"/>
          <w14:textFill>
            <w14:solidFill>
              <w14:schemeClr w14:val="tx1"/>
            </w14:solidFill>
          </w14:textFill>
        </w:rPr>
        <w:t>，</w:t>
      </w:r>
      <w:r>
        <w:rPr>
          <w:rFonts w:ascii="宋体" w:hAnsi="宋体" w:cs="宋体"/>
          <w:color w:val="000000" w:themeColor="text1"/>
          <w:sz w:val="28"/>
          <w:szCs w:val="28"/>
          <w:highlight w:val="none"/>
          <w:shd w:val="clear" w:color="auto" w:fill="FFFFFF"/>
          <w14:textFill>
            <w14:solidFill>
              <w14:schemeClr w14:val="tx1"/>
            </w14:solidFill>
          </w14:textFill>
        </w:rPr>
        <w:t>18952882848</w:t>
      </w:r>
      <w:r>
        <w:rPr>
          <w:rFonts w:hint="eastAsia" w:ascii="宋体" w:hAnsi="宋体" w:cs="宋体"/>
          <w:color w:val="000000" w:themeColor="text1"/>
          <w:sz w:val="28"/>
          <w:szCs w:val="28"/>
          <w:highlight w:val="none"/>
          <w:shd w:val="clear" w:color="auto" w:fill="FFFFFF"/>
          <w14:textFill>
            <w14:solidFill>
              <w14:schemeClr w14:val="tx1"/>
            </w14:solidFill>
          </w14:textFill>
        </w:rPr>
        <w:t>。</w:t>
      </w:r>
    </w:p>
    <w:p w14:paraId="18BD9975">
      <w:pPr>
        <w:spacing w:line="460" w:lineRule="exact"/>
        <w:ind w:firstLine="560"/>
        <w:contextualSpacing/>
        <w:jc w:val="left"/>
        <w:rPr>
          <w:rFonts w:ascii="宋体" w:hAnsi="宋体" w:cs="宋体"/>
          <w:color w:val="000000" w:themeColor="text1"/>
          <w:sz w:val="28"/>
          <w:szCs w:val="28"/>
          <w:highlight w:val="yellow"/>
          <w14:textFill>
            <w14:solidFill>
              <w14:schemeClr w14:val="tx1"/>
            </w14:solidFill>
          </w14:textFill>
        </w:rPr>
      </w:pPr>
    </w:p>
    <w:bookmarkEnd w:id="3"/>
    <w:bookmarkEnd w:id="4"/>
    <w:p w14:paraId="22525565">
      <w:pPr>
        <w:widowControl/>
        <w:jc w:val="left"/>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br w:type="page"/>
      </w:r>
      <w:bookmarkStart w:id="5" w:name="_GoBack"/>
      <w:bookmarkEnd w:id="5"/>
    </w:p>
    <w:p w14:paraId="4BA2D271">
      <w:pPr>
        <w:spacing w:line="360" w:lineRule="auto"/>
        <w:jc w:val="center"/>
        <w:outlineLvl w:val="0"/>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t>评分办法</w:t>
      </w:r>
    </w:p>
    <w:tbl>
      <w:tblPr>
        <w:tblStyle w:val="31"/>
        <w:tblW w:w="9036" w:type="dxa"/>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305"/>
        <w:gridCol w:w="6255"/>
        <w:gridCol w:w="715"/>
      </w:tblGrid>
      <w:tr w14:paraId="2604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9036" w:type="dxa"/>
            <w:gridSpan w:val="4"/>
            <w:noWrap/>
            <w:vAlign w:val="center"/>
          </w:tcPr>
          <w:p w14:paraId="40700F38">
            <w:pPr>
              <w:tabs>
                <w:tab w:val="left" w:pos="3057"/>
              </w:tabs>
              <w:spacing w:line="320" w:lineRule="exact"/>
              <w:jc w:val="center"/>
              <w:rPr>
                <w:rFonts w:ascii="宋体" w:hAnsi="宋体" w:cs="方正黑体_GBK"/>
                <w:sz w:val="24"/>
              </w:rPr>
            </w:pPr>
            <w:r>
              <w:rPr>
                <w:rFonts w:hint="eastAsia" w:ascii="宋体" w:hAnsi="宋体" w:cs="方正黑体_GBK"/>
                <w:sz w:val="24"/>
              </w:rPr>
              <w:t>（一）价格标评分（分值15分）（小数点后保留两位）</w:t>
            </w:r>
          </w:p>
        </w:tc>
      </w:tr>
      <w:tr w14:paraId="7799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61" w:type="dxa"/>
            <w:noWrap/>
            <w:vAlign w:val="center"/>
          </w:tcPr>
          <w:p w14:paraId="1C677140">
            <w:pPr>
              <w:spacing w:line="320" w:lineRule="exact"/>
              <w:jc w:val="center"/>
              <w:rPr>
                <w:rFonts w:ascii="宋体" w:hAnsi="宋体" w:cs="宋体"/>
                <w:b/>
                <w:bCs/>
                <w:sz w:val="24"/>
              </w:rPr>
            </w:pPr>
            <w:r>
              <w:rPr>
                <w:rFonts w:hint="eastAsia" w:ascii="宋体" w:hAnsi="宋体" w:cs="宋体"/>
                <w:b/>
                <w:bCs/>
                <w:sz w:val="24"/>
              </w:rPr>
              <w:t>序号</w:t>
            </w:r>
          </w:p>
        </w:tc>
        <w:tc>
          <w:tcPr>
            <w:tcW w:w="1305" w:type="dxa"/>
            <w:noWrap/>
            <w:vAlign w:val="center"/>
          </w:tcPr>
          <w:p w14:paraId="4770601E">
            <w:pPr>
              <w:spacing w:line="320" w:lineRule="exact"/>
              <w:jc w:val="center"/>
              <w:rPr>
                <w:rFonts w:ascii="宋体" w:hAnsi="宋体" w:cs="宋体"/>
                <w:b/>
                <w:bCs/>
                <w:sz w:val="24"/>
              </w:rPr>
            </w:pPr>
            <w:r>
              <w:rPr>
                <w:rFonts w:hint="eastAsia" w:ascii="宋体" w:hAnsi="宋体" w:cs="宋体"/>
                <w:b/>
                <w:bCs/>
                <w:sz w:val="24"/>
              </w:rPr>
              <w:t>评审因素</w:t>
            </w:r>
          </w:p>
        </w:tc>
        <w:tc>
          <w:tcPr>
            <w:tcW w:w="6255" w:type="dxa"/>
            <w:noWrap/>
            <w:vAlign w:val="center"/>
          </w:tcPr>
          <w:p w14:paraId="3D243DC2">
            <w:pPr>
              <w:spacing w:line="320" w:lineRule="exact"/>
              <w:jc w:val="center"/>
              <w:rPr>
                <w:rFonts w:ascii="宋体" w:hAnsi="宋体" w:cs="宋体"/>
                <w:b/>
                <w:bCs/>
                <w:sz w:val="24"/>
              </w:rPr>
            </w:pPr>
            <w:r>
              <w:rPr>
                <w:rFonts w:hint="eastAsia" w:ascii="宋体" w:hAnsi="宋体" w:cs="宋体"/>
                <w:b/>
                <w:bCs/>
                <w:sz w:val="24"/>
              </w:rPr>
              <w:t>评分标准及说明</w:t>
            </w:r>
          </w:p>
        </w:tc>
        <w:tc>
          <w:tcPr>
            <w:tcW w:w="715" w:type="dxa"/>
            <w:noWrap/>
            <w:vAlign w:val="center"/>
          </w:tcPr>
          <w:p w14:paraId="326213AB">
            <w:pPr>
              <w:spacing w:line="320" w:lineRule="exact"/>
              <w:jc w:val="center"/>
              <w:rPr>
                <w:rFonts w:ascii="宋体" w:hAnsi="宋体" w:cs="宋体"/>
                <w:b/>
                <w:bCs/>
                <w:sz w:val="24"/>
              </w:rPr>
            </w:pPr>
            <w:r>
              <w:rPr>
                <w:rFonts w:hint="eastAsia" w:ascii="宋体" w:hAnsi="宋体" w:cs="宋体"/>
                <w:b/>
                <w:bCs/>
                <w:sz w:val="24"/>
              </w:rPr>
              <w:t>分值</w:t>
            </w:r>
          </w:p>
        </w:tc>
      </w:tr>
      <w:tr w14:paraId="1CDD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761" w:type="dxa"/>
            <w:noWrap/>
            <w:vAlign w:val="center"/>
          </w:tcPr>
          <w:p w14:paraId="50F5FCE0">
            <w:pPr>
              <w:jc w:val="center"/>
              <w:rPr>
                <w:rFonts w:ascii="宋体" w:hAnsi="宋体" w:cs="宋体"/>
                <w:b/>
                <w:bCs/>
                <w:sz w:val="24"/>
              </w:rPr>
            </w:pPr>
            <w:r>
              <w:rPr>
                <w:rFonts w:hint="eastAsia" w:ascii="宋体" w:hAnsi="宋体" w:cs="宋体"/>
                <w:sz w:val="24"/>
              </w:rPr>
              <w:t>1</w:t>
            </w:r>
          </w:p>
        </w:tc>
        <w:tc>
          <w:tcPr>
            <w:tcW w:w="1305" w:type="dxa"/>
            <w:noWrap/>
            <w:vAlign w:val="center"/>
          </w:tcPr>
          <w:p w14:paraId="07F309CD">
            <w:pPr>
              <w:jc w:val="center"/>
              <w:rPr>
                <w:rFonts w:ascii="宋体" w:hAnsi="宋体" w:cs="宋体"/>
                <w:b/>
                <w:bCs/>
                <w:sz w:val="24"/>
              </w:rPr>
            </w:pPr>
            <w:r>
              <w:rPr>
                <w:rFonts w:hint="eastAsia" w:ascii="宋体" w:hAnsi="宋体" w:cs="宋体"/>
                <w:sz w:val="24"/>
              </w:rPr>
              <w:t>报价</w:t>
            </w:r>
          </w:p>
        </w:tc>
        <w:tc>
          <w:tcPr>
            <w:tcW w:w="6255" w:type="dxa"/>
            <w:noWrap/>
            <w:vAlign w:val="center"/>
          </w:tcPr>
          <w:p w14:paraId="53CFA593">
            <w:pPr>
              <w:ind w:firstLine="480" w:firstLineChars="200"/>
              <w:rPr>
                <w:rFonts w:ascii="宋体" w:hAnsi="宋体" w:cs="宋体"/>
                <w:b/>
                <w:bCs/>
                <w:sz w:val="24"/>
              </w:rPr>
            </w:pPr>
            <w:r>
              <w:rPr>
                <w:rFonts w:hint="eastAsia" w:ascii="宋体" w:hAnsi="宋体" w:cs="宋体"/>
                <w:sz w:val="24"/>
              </w:rPr>
              <w:t>采用低价优先法计算，即满足采购文件要求且响应价格最低的为基准价，其价格分满分为15分，其它响应人的价格分统一按照以下公式计算：报价得分=（基准价/该响应人的报价）×15分。</w:t>
            </w:r>
            <w:r>
              <w:rPr>
                <w:rFonts w:ascii="宋体" w:hAnsi="宋体"/>
                <w:bCs/>
                <w:sz w:val="24"/>
              </w:rPr>
              <w:t>分值保留小数点后2位。</w:t>
            </w:r>
          </w:p>
        </w:tc>
        <w:tc>
          <w:tcPr>
            <w:tcW w:w="715" w:type="dxa"/>
            <w:noWrap/>
            <w:vAlign w:val="center"/>
          </w:tcPr>
          <w:p w14:paraId="5B170312">
            <w:pPr>
              <w:jc w:val="center"/>
              <w:rPr>
                <w:rFonts w:ascii="宋体" w:hAnsi="宋体" w:cs="宋体"/>
                <w:sz w:val="24"/>
              </w:rPr>
            </w:pPr>
            <w:r>
              <w:rPr>
                <w:rFonts w:hint="eastAsia" w:ascii="宋体" w:hAnsi="宋体" w:cs="宋体"/>
                <w:bCs/>
                <w:sz w:val="24"/>
              </w:rPr>
              <w:t>15</w:t>
            </w:r>
          </w:p>
        </w:tc>
      </w:tr>
      <w:tr w14:paraId="5DAD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036" w:type="dxa"/>
            <w:gridSpan w:val="4"/>
            <w:noWrap/>
            <w:vAlign w:val="center"/>
          </w:tcPr>
          <w:p w14:paraId="001917A9">
            <w:pPr>
              <w:spacing w:line="320" w:lineRule="exact"/>
              <w:jc w:val="center"/>
              <w:rPr>
                <w:rFonts w:ascii="宋体" w:hAnsi="宋体" w:cs="宋体"/>
                <w:sz w:val="24"/>
              </w:rPr>
            </w:pPr>
            <w:r>
              <w:rPr>
                <w:rFonts w:hint="eastAsia" w:ascii="宋体" w:hAnsi="宋体" w:cs="方正黑体_GBK"/>
                <w:sz w:val="24"/>
              </w:rPr>
              <w:t>（二）</w:t>
            </w:r>
            <w:r>
              <w:rPr>
                <w:rFonts w:hint="eastAsia" w:ascii="宋体" w:hAnsi="宋体" w:cs="宋体"/>
                <w:sz w:val="24"/>
              </w:rPr>
              <w:t>服务</w:t>
            </w:r>
            <w:r>
              <w:rPr>
                <w:rFonts w:hint="eastAsia" w:ascii="宋体" w:hAnsi="宋体" w:cs="方正黑体_GBK"/>
                <w:sz w:val="24"/>
              </w:rPr>
              <w:t>商综合评价（分值35分）</w:t>
            </w:r>
          </w:p>
        </w:tc>
      </w:tr>
      <w:tr w14:paraId="29A8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61" w:type="dxa"/>
            <w:noWrap/>
            <w:vAlign w:val="center"/>
          </w:tcPr>
          <w:p w14:paraId="609BCDA8">
            <w:pPr>
              <w:jc w:val="center"/>
              <w:rPr>
                <w:rFonts w:ascii="宋体" w:hAnsi="宋体" w:cs="宋体"/>
                <w:sz w:val="24"/>
              </w:rPr>
            </w:pPr>
            <w:r>
              <w:rPr>
                <w:rFonts w:hint="eastAsia" w:ascii="宋体" w:hAnsi="宋体" w:cs="宋体"/>
                <w:sz w:val="24"/>
              </w:rPr>
              <w:t>1</w:t>
            </w:r>
          </w:p>
        </w:tc>
        <w:tc>
          <w:tcPr>
            <w:tcW w:w="1305" w:type="dxa"/>
            <w:noWrap/>
            <w:vAlign w:val="center"/>
          </w:tcPr>
          <w:p w14:paraId="542D8D6E">
            <w:pPr>
              <w:jc w:val="center"/>
              <w:rPr>
                <w:rFonts w:ascii="宋体" w:hAnsi="宋体" w:cs="宋体"/>
                <w:sz w:val="24"/>
              </w:rPr>
            </w:pPr>
            <w:r>
              <w:rPr>
                <w:rFonts w:hint="eastAsia" w:ascii="宋体" w:hAnsi="宋体" w:cs="宋体"/>
                <w:sz w:val="24"/>
              </w:rPr>
              <w:t>服务商</w:t>
            </w:r>
          </w:p>
          <w:p w14:paraId="7297A846">
            <w:pPr>
              <w:jc w:val="center"/>
              <w:rPr>
                <w:rFonts w:ascii="宋体" w:hAnsi="宋体" w:cs="宋体"/>
                <w:sz w:val="24"/>
              </w:rPr>
            </w:pPr>
            <w:r>
              <w:rPr>
                <w:rFonts w:hint="eastAsia" w:ascii="宋体" w:hAnsi="宋体" w:cs="宋体"/>
                <w:sz w:val="24"/>
              </w:rPr>
              <w:t>资信</w:t>
            </w:r>
          </w:p>
        </w:tc>
        <w:tc>
          <w:tcPr>
            <w:tcW w:w="6255" w:type="dxa"/>
            <w:noWrap/>
          </w:tcPr>
          <w:p w14:paraId="3F1F742D">
            <w:pPr>
              <w:ind w:firstLine="480" w:firstLineChars="200"/>
              <w:rPr>
                <w:rFonts w:ascii="宋体" w:hAnsi="宋体" w:cs="宋体"/>
                <w:sz w:val="24"/>
                <w:highlight w:val="yellow"/>
              </w:rPr>
            </w:pPr>
            <w:r>
              <w:rPr>
                <w:rFonts w:hint="eastAsia" w:ascii="宋体" w:hAnsi="宋体" w:cs="宋体"/>
                <w:sz w:val="24"/>
              </w:rPr>
              <w:t>1.须同时具有质量、环境、信息安全、信息技术服务、知识产权管理体系认证证书得3分，每缺1项扣1分,扣完为止；</w:t>
            </w:r>
          </w:p>
          <w:p w14:paraId="34B8A7CF">
            <w:pPr>
              <w:ind w:firstLine="480" w:firstLineChars="200"/>
              <w:rPr>
                <w:rFonts w:ascii="宋体" w:hAnsi="宋体" w:cs="宋体"/>
                <w:sz w:val="24"/>
              </w:rPr>
            </w:pPr>
            <w:r>
              <w:rPr>
                <w:rFonts w:hint="eastAsia" w:ascii="宋体" w:hAnsi="宋体" w:cs="宋体"/>
                <w:sz w:val="24"/>
              </w:rPr>
              <w:t>2.服务商具有电子、信息工程(含通信、广电、信息化) 咨询资质证书的，得3分，其他不得分；</w:t>
            </w:r>
          </w:p>
          <w:p w14:paraId="061A7BD9">
            <w:pPr>
              <w:ind w:firstLine="480" w:firstLineChars="200"/>
              <w:rPr>
                <w:rFonts w:ascii="宋体" w:hAnsi="宋体" w:cs="宋体"/>
                <w:strike/>
                <w:color w:val="FF0000"/>
                <w:sz w:val="24"/>
              </w:rPr>
            </w:pPr>
            <w:r>
              <w:rPr>
                <w:rFonts w:hint="eastAsia" w:ascii="宋体" w:hAnsi="宋体" w:cs="宋体"/>
                <w:sz w:val="24"/>
              </w:rPr>
              <w:t>3.服务商具有工程设计电子通信广电行业（通信工程）甲级的得3分，其他不得分；</w:t>
            </w:r>
          </w:p>
          <w:p w14:paraId="79FDD70D">
            <w:pPr>
              <w:ind w:firstLine="480" w:firstLineChars="200"/>
              <w:rPr>
                <w:rFonts w:ascii="宋体" w:hAnsi="宋体" w:cs="宋体"/>
                <w:sz w:val="24"/>
              </w:rPr>
            </w:pPr>
            <w:r>
              <w:rPr>
                <w:rFonts w:hint="eastAsia" w:ascii="宋体" w:hAnsi="宋体" w:cs="宋体"/>
                <w:sz w:val="24"/>
              </w:rPr>
              <w:t>4.服务商具有中国通信企业协会颁发的网络安全服务能力（网络安全设计与集成一级及以上）评定证书，得3分，其他不得分；</w:t>
            </w:r>
          </w:p>
          <w:p w14:paraId="0B493164">
            <w:pPr>
              <w:ind w:firstLine="480" w:firstLineChars="200"/>
              <w:rPr>
                <w:rFonts w:ascii="宋体" w:hAnsi="宋体" w:cs="宋体"/>
                <w:sz w:val="24"/>
              </w:rPr>
            </w:pPr>
            <w:r>
              <w:rPr>
                <w:rFonts w:hint="eastAsia" w:ascii="宋体" w:hAnsi="宋体" w:cs="宋体"/>
                <w:sz w:val="24"/>
              </w:rPr>
              <w:t>5.服务商具有在全国投资项目在线审批监管平台（网址：http://new.tzxm.gov.cn/）工程咨询单位名录中登记，且登记咨询行业为电子、信息化工程的得3分。</w:t>
            </w:r>
          </w:p>
          <w:p w14:paraId="11F86D86">
            <w:pPr>
              <w:ind w:firstLine="480" w:firstLineChars="200"/>
              <w:rPr>
                <w:rFonts w:ascii="宋体" w:hAnsi="宋体" w:cs="宋体"/>
                <w:sz w:val="24"/>
              </w:rPr>
            </w:pPr>
            <w:r>
              <w:rPr>
                <w:rFonts w:hint="eastAsia" w:ascii="宋体" w:hAnsi="宋体" w:cs="宋体"/>
                <w:sz w:val="24"/>
              </w:rPr>
              <w:t>（以上须提供有效期内的证书复印件或在线截图加盖服务商公章）</w:t>
            </w:r>
          </w:p>
        </w:tc>
        <w:tc>
          <w:tcPr>
            <w:tcW w:w="715" w:type="dxa"/>
            <w:noWrap/>
            <w:vAlign w:val="center"/>
          </w:tcPr>
          <w:p w14:paraId="028E56E5">
            <w:pPr>
              <w:jc w:val="center"/>
              <w:rPr>
                <w:rFonts w:ascii="宋体" w:hAnsi="宋体" w:cs="宋体"/>
                <w:sz w:val="24"/>
              </w:rPr>
            </w:pPr>
            <w:r>
              <w:rPr>
                <w:rFonts w:hint="eastAsia" w:ascii="宋体" w:hAnsi="宋体" w:cs="宋体"/>
                <w:sz w:val="24"/>
              </w:rPr>
              <w:t>15</w:t>
            </w:r>
          </w:p>
        </w:tc>
      </w:tr>
      <w:tr w14:paraId="136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1" w:type="dxa"/>
            <w:noWrap/>
            <w:vAlign w:val="center"/>
          </w:tcPr>
          <w:p w14:paraId="3682B243">
            <w:pPr>
              <w:jc w:val="center"/>
              <w:rPr>
                <w:rFonts w:ascii="宋体" w:hAnsi="宋体" w:cs="宋体"/>
                <w:sz w:val="24"/>
              </w:rPr>
            </w:pPr>
            <w:r>
              <w:rPr>
                <w:rFonts w:hint="eastAsia" w:ascii="宋体" w:hAnsi="宋体" w:cs="宋体"/>
                <w:sz w:val="24"/>
              </w:rPr>
              <w:t>2</w:t>
            </w:r>
          </w:p>
        </w:tc>
        <w:tc>
          <w:tcPr>
            <w:tcW w:w="1305" w:type="dxa"/>
            <w:noWrap/>
            <w:vAlign w:val="center"/>
          </w:tcPr>
          <w:p w14:paraId="4EFD8C9B">
            <w:pPr>
              <w:jc w:val="center"/>
              <w:rPr>
                <w:rFonts w:ascii="宋体" w:hAnsi="宋体" w:cs="宋体"/>
                <w:sz w:val="24"/>
              </w:rPr>
            </w:pPr>
            <w:r>
              <w:rPr>
                <w:rFonts w:hint="eastAsia" w:ascii="宋体" w:hAnsi="宋体" w:cs="宋体"/>
                <w:sz w:val="24"/>
              </w:rPr>
              <w:t>服务商</w:t>
            </w:r>
          </w:p>
          <w:p w14:paraId="7007EF19">
            <w:pPr>
              <w:jc w:val="center"/>
              <w:rPr>
                <w:rFonts w:ascii="宋体" w:hAnsi="宋体" w:cs="宋体"/>
                <w:sz w:val="24"/>
              </w:rPr>
            </w:pPr>
            <w:r>
              <w:rPr>
                <w:rFonts w:hint="eastAsia" w:ascii="宋体" w:hAnsi="宋体" w:cs="宋体"/>
                <w:sz w:val="24"/>
              </w:rPr>
              <w:t>类似业绩</w:t>
            </w:r>
          </w:p>
        </w:tc>
        <w:tc>
          <w:tcPr>
            <w:tcW w:w="6255" w:type="dxa"/>
            <w:noWrap/>
            <w:vAlign w:val="center"/>
          </w:tcPr>
          <w:p w14:paraId="7B6C7549">
            <w:pPr>
              <w:ind w:firstLine="480" w:firstLineChars="200"/>
              <w:rPr>
                <w:rFonts w:ascii="宋体" w:hAnsi="宋体" w:cs="宋体"/>
                <w:sz w:val="24"/>
              </w:rPr>
            </w:pPr>
            <w:r>
              <w:rPr>
                <w:rFonts w:hint="eastAsia" w:ascii="宋体" w:hAnsi="宋体" w:cs="宋体"/>
                <w:sz w:val="24"/>
              </w:rPr>
              <w:t>2022年1月1日以来，承担过类似咨询设计项目，每提供1个项目合同得</w:t>
            </w:r>
            <w:r>
              <w:rPr>
                <w:rFonts w:ascii="宋体" w:hAnsi="宋体" w:cs="宋体"/>
                <w:sz w:val="24"/>
              </w:rPr>
              <w:t>2</w:t>
            </w:r>
            <w:r>
              <w:rPr>
                <w:rFonts w:hint="eastAsia" w:ascii="宋体" w:hAnsi="宋体" w:cs="宋体"/>
                <w:sz w:val="24"/>
              </w:rPr>
              <w:t>分，最多10分。</w:t>
            </w:r>
          </w:p>
          <w:p w14:paraId="0ADC5E3E">
            <w:pPr>
              <w:ind w:firstLine="480" w:firstLineChars="200"/>
              <w:rPr>
                <w:rFonts w:ascii="宋体" w:hAnsi="宋体" w:cs="宋体"/>
                <w:sz w:val="24"/>
              </w:rPr>
            </w:pPr>
            <w:r>
              <w:rPr>
                <w:rFonts w:hint="eastAsia" w:ascii="宋体" w:hAnsi="宋体" w:cs="宋体"/>
                <w:sz w:val="24"/>
              </w:rPr>
              <w:t>提供合同复印件加盖公章。</w:t>
            </w:r>
          </w:p>
        </w:tc>
        <w:tc>
          <w:tcPr>
            <w:tcW w:w="715" w:type="dxa"/>
            <w:noWrap/>
            <w:vAlign w:val="center"/>
          </w:tcPr>
          <w:p w14:paraId="43183994">
            <w:pPr>
              <w:jc w:val="center"/>
              <w:rPr>
                <w:rFonts w:ascii="宋体" w:hAnsi="宋体" w:cs="宋体"/>
                <w:sz w:val="24"/>
              </w:rPr>
            </w:pPr>
            <w:r>
              <w:rPr>
                <w:rFonts w:hint="eastAsia" w:ascii="宋体" w:hAnsi="宋体" w:cs="宋体"/>
                <w:sz w:val="24"/>
              </w:rPr>
              <w:t>10</w:t>
            </w:r>
          </w:p>
        </w:tc>
      </w:tr>
      <w:tr w14:paraId="298E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61" w:type="dxa"/>
            <w:noWrap/>
            <w:vAlign w:val="center"/>
          </w:tcPr>
          <w:p w14:paraId="4193F163">
            <w:pPr>
              <w:jc w:val="center"/>
              <w:rPr>
                <w:rFonts w:ascii="宋体" w:hAnsi="宋体" w:cs="宋体"/>
                <w:sz w:val="24"/>
              </w:rPr>
            </w:pPr>
            <w:r>
              <w:rPr>
                <w:rFonts w:hint="eastAsia" w:ascii="宋体" w:hAnsi="宋体" w:cs="宋体"/>
                <w:sz w:val="24"/>
              </w:rPr>
              <w:t>3</w:t>
            </w:r>
          </w:p>
        </w:tc>
        <w:tc>
          <w:tcPr>
            <w:tcW w:w="1305" w:type="dxa"/>
            <w:noWrap/>
            <w:vAlign w:val="center"/>
          </w:tcPr>
          <w:p w14:paraId="63A029FF">
            <w:pPr>
              <w:jc w:val="center"/>
              <w:rPr>
                <w:rFonts w:ascii="宋体" w:hAnsi="宋体" w:cs="宋体"/>
                <w:sz w:val="24"/>
              </w:rPr>
            </w:pPr>
            <w:r>
              <w:rPr>
                <w:rFonts w:hint="eastAsia" w:ascii="宋体" w:hAnsi="宋体" w:cs="宋体"/>
                <w:sz w:val="24"/>
              </w:rPr>
              <w:t>企业荣誉</w:t>
            </w:r>
          </w:p>
        </w:tc>
        <w:tc>
          <w:tcPr>
            <w:tcW w:w="6255" w:type="dxa"/>
            <w:noWrap/>
            <w:vAlign w:val="center"/>
          </w:tcPr>
          <w:p w14:paraId="1277FCF9">
            <w:pPr>
              <w:ind w:firstLine="480" w:firstLineChars="200"/>
              <w:rPr>
                <w:rFonts w:ascii="宋体" w:hAnsi="宋体" w:cs="宋体"/>
                <w:sz w:val="24"/>
              </w:rPr>
            </w:pPr>
            <w:r>
              <w:rPr>
                <w:rFonts w:hint="eastAsia" w:ascii="宋体" w:hAnsi="宋体" w:cs="宋体"/>
                <w:sz w:val="24"/>
              </w:rPr>
              <w:t>1.获得国家级优秀咨询/设计奖的，每个得3分，获得省部级优秀工程咨询成果奖的，每个1分，本项最多得6分。</w:t>
            </w:r>
          </w:p>
          <w:p w14:paraId="20308E10">
            <w:pPr>
              <w:ind w:firstLine="480" w:firstLineChars="200"/>
              <w:rPr>
                <w:rFonts w:ascii="宋体" w:hAnsi="宋体" w:cs="宋体"/>
                <w:sz w:val="24"/>
                <w:highlight w:val="yellow"/>
              </w:rPr>
            </w:pPr>
            <w:r>
              <w:rPr>
                <w:rFonts w:hint="eastAsia" w:ascii="宋体" w:hAnsi="宋体" w:cs="宋体"/>
                <w:sz w:val="24"/>
              </w:rPr>
              <w:t>2.</w:t>
            </w:r>
            <w:r>
              <w:rPr>
                <w:rFonts w:hint="eastAsia"/>
              </w:rPr>
              <w:t xml:space="preserve"> </w:t>
            </w:r>
            <w:r>
              <w:rPr>
                <w:rFonts w:hint="eastAsia" w:ascii="宋体" w:hAnsi="宋体" w:cs="宋体"/>
                <w:sz w:val="24"/>
              </w:rPr>
              <w:t>具有有效期内的企业行业信用等级证书（设计咨询领域AAA级信用企业）得2分。</w:t>
            </w:r>
          </w:p>
          <w:p w14:paraId="01C6B8BC">
            <w:pPr>
              <w:ind w:firstLine="480" w:firstLineChars="200"/>
              <w:rPr>
                <w:rFonts w:ascii="宋体" w:hAnsi="宋体" w:cs="宋体"/>
                <w:sz w:val="24"/>
              </w:rPr>
            </w:pPr>
            <w:r>
              <w:rPr>
                <w:rFonts w:hint="eastAsia" w:ascii="宋体" w:hAnsi="宋体" w:cs="宋体"/>
                <w:sz w:val="24"/>
              </w:rPr>
              <w:t>3.获得省级以上人民政府质量奖的得2分，获得市级人民政府质量奖的得1分，本项满分2分。</w:t>
            </w:r>
          </w:p>
          <w:p w14:paraId="3FA9AB43">
            <w:pPr>
              <w:ind w:firstLine="480" w:firstLineChars="200"/>
              <w:rPr>
                <w:rFonts w:ascii="宋体" w:hAnsi="宋体" w:cs="宋体"/>
                <w:sz w:val="24"/>
              </w:rPr>
            </w:pPr>
            <w:r>
              <w:rPr>
                <w:rFonts w:hint="eastAsia" w:ascii="宋体" w:hAnsi="宋体" w:cs="宋体"/>
                <w:sz w:val="24"/>
              </w:rPr>
              <w:t>（以上须提供有效期内的证书复印件加盖服务商公章，提供不全或未提供的，得0分）</w:t>
            </w:r>
          </w:p>
        </w:tc>
        <w:tc>
          <w:tcPr>
            <w:tcW w:w="715" w:type="dxa"/>
            <w:noWrap/>
            <w:vAlign w:val="center"/>
          </w:tcPr>
          <w:p w14:paraId="6B1BEE33">
            <w:pPr>
              <w:jc w:val="center"/>
              <w:rPr>
                <w:rFonts w:ascii="宋体" w:hAnsi="宋体" w:cs="宋体"/>
                <w:sz w:val="24"/>
              </w:rPr>
            </w:pPr>
            <w:r>
              <w:rPr>
                <w:rFonts w:hint="eastAsia" w:ascii="宋体" w:hAnsi="宋体" w:cs="宋体"/>
                <w:sz w:val="24"/>
              </w:rPr>
              <w:t>10</w:t>
            </w:r>
          </w:p>
        </w:tc>
      </w:tr>
      <w:tr w14:paraId="3A1B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9036" w:type="dxa"/>
            <w:gridSpan w:val="4"/>
            <w:noWrap/>
            <w:vAlign w:val="center"/>
          </w:tcPr>
          <w:p w14:paraId="48ECA8FA">
            <w:pPr>
              <w:spacing w:line="360" w:lineRule="exact"/>
              <w:jc w:val="center"/>
              <w:rPr>
                <w:rFonts w:ascii="宋体" w:hAnsi="宋体" w:cs="宋体"/>
                <w:sz w:val="24"/>
              </w:rPr>
            </w:pPr>
            <w:r>
              <w:rPr>
                <w:rFonts w:hint="eastAsia" w:ascii="宋体" w:hAnsi="宋体" w:cs="方正黑体_GBK"/>
                <w:sz w:val="24"/>
              </w:rPr>
              <w:t>（三）技术服务方案评分（分值25分）</w:t>
            </w:r>
          </w:p>
        </w:tc>
      </w:tr>
      <w:tr w14:paraId="15D0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7" w:hRule="atLeast"/>
        </w:trPr>
        <w:tc>
          <w:tcPr>
            <w:tcW w:w="761" w:type="dxa"/>
            <w:noWrap/>
            <w:vAlign w:val="center"/>
          </w:tcPr>
          <w:p w14:paraId="47197213">
            <w:pPr>
              <w:jc w:val="center"/>
              <w:rPr>
                <w:rFonts w:ascii="宋体" w:hAnsi="宋体" w:cs="宋体"/>
                <w:sz w:val="24"/>
              </w:rPr>
            </w:pPr>
            <w:r>
              <w:rPr>
                <w:rFonts w:hint="eastAsia" w:ascii="宋体" w:hAnsi="宋体" w:cs="宋体"/>
                <w:sz w:val="24"/>
              </w:rPr>
              <w:t>1</w:t>
            </w:r>
          </w:p>
        </w:tc>
        <w:tc>
          <w:tcPr>
            <w:tcW w:w="1305" w:type="dxa"/>
            <w:noWrap/>
            <w:vAlign w:val="center"/>
          </w:tcPr>
          <w:p w14:paraId="363A1746">
            <w:pPr>
              <w:jc w:val="center"/>
              <w:rPr>
                <w:rFonts w:ascii="宋体" w:hAnsi="宋体" w:cs="宋体"/>
                <w:sz w:val="24"/>
              </w:rPr>
            </w:pPr>
            <w:r>
              <w:rPr>
                <w:rFonts w:hint="eastAsia" w:ascii="宋体" w:hAnsi="宋体" w:cs="宋体"/>
                <w:sz w:val="24"/>
              </w:rPr>
              <w:t>整体服务</w:t>
            </w:r>
          </w:p>
          <w:p w14:paraId="6D9BA022">
            <w:pPr>
              <w:jc w:val="center"/>
              <w:rPr>
                <w:rFonts w:ascii="宋体" w:hAnsi="宋体" w:cs="宋体"/>
                <w:sz w:val="24"/>
              </w:rPr>
            </w:pPr>
            <w:r>
              <w:rPr>
                <w:rFonts w:hint="eastAsia" w:ascii="宋体" w:hAnsi="宋体" w:cs="宋体"/>
                <w:sz w:val="24"/>
              </w:rPr>
              <w:t>方案与</w:t>
            </w:r>
          </w:p>
          <w:p w14:paraId="065B320A">
            <w:pPr>
              <w:jc w:val="center"/>
              <w:rPr>
                <w:rFonts w:ascii="宋体" w:hAnsi="宋体" w:cs="宋体"/>
                <w:sz w:val="24"/>
              </w:rPr>
            </w:pPr>
            <w:r>
              <w:rPr>
                <w:rFonts w:hint="eastAsia" w:ascii="宋体" w:hAnsi="宋体" w:cs="宋体"/>
                <w:sz w:val="24"/>
              </w:rPr>
              <w:t>建设发展分析</w:t>
            </w:r>
          </w:p>
        </w:tc>
        <w:tc>
          <w:tcPr>
            <w:tcW w:w="6255" w:type="dxa"/>
            <w:noWrap/>
            <w:vAlign w:val="center"/>
          </w:tcPr>
          <w:p w14:paraId="20747636">
            <w:pPr>
              <w:ind w:firstLine="480" w:firstLineChars="200"/>
              <w:rPr>
                <w:rFonts w:ascii="宋体" w:hAnsi="宋体" w:cs="宋体"/>
                <w:sz w:val="24"/>
              </w:rPr>
            </w:pPr>
            <w:r>
              <w:rPr>
                <w:rFonts w:hint="eastAsia" w:ascii="宋体" w:hAnsi="宋体" w:cs="宋体"/>
                <w:sz w:val="24"/>
              </w:rPr>
              <w:t>对响应人提交的总体设计方案进行综合评审，包括但不限于：总体设计思路理念、技术架构与规划、建设目标以及技术解决方案。具体分值划分如下：</w:t>
            </w:r>
          </w:p>
          <w:p w14:paraId="739B5C82">
            <w:pPr>
              <w:ind w:firstLine="480" w:firstLineChars="200"/>
              <w:rPr>
                <w:rFonts w:ascii="宋体" w:hAnsi="宋体" w:cs="宋体"/>
                <w:sz w:val="24"/>
              </w:rPr>
            </w:pPr>
            <w:r>
              <w:rPr>
                <w:rFonts w:hint="eastAsia" w:ascii="宋体" w:hAnsi="宋体" w:cs="宋体"/>
                <w:sz w:val="24"/>
              </w:rPr>
              <w:t>1.整体咨询及技术服务方案充分满足采购文件要求，设计思路理念非常清晰、科学合理，完全符合行业未来发展趋势；能够准确、完整地提出总体技术框架和规划思路，并进行了深入、详尽的解析；针对项目提出的建设目标和具体技术解决方案具有极高的先进性、实用性和经济性，对项目实施有很强的指导意义。（</w:t>
            </w:r>
            <w:r>
              <w:rPr>
                <w:rFonts w:hint="eastAsia" w:ascii="宋体" w:hAnsi="宋体" w:cs="方正黑体_GBK"/>
                <w:sz w:val="24"/>
              </w:rPr>
              <w:t>5</w:t>
            </w:r>
            <w:r>
              <w:rPr>
                <w:rFonts w:hint="eastAsia" w:ascii="宋体" w:hAnsi="宋体" w:cs="宋体"/>
                <w:sz w:val="24"/>
              </w:rPr>
              <w:t>分）</w:t>
            </w:r>
          </w:p>
          <w:p w14:paraId="2A38CDE1">
            <w:pPr>
              <w:ind w:firstLine="480" w:firstLineChars="200"/>
              <w:rPr>
                <w:rFonts w:ascii="宋体" w:hAnsi="宋体" w:cs="宋体"/>
                <w:sz w:val="24"/>
              </w:rPr>
            </w:pPr>
            <w:r>
              <w:rPr>
                <w:rFonts w:hint="eastAsia" w:ascii="宋体" w:hAnsi="宋体" w:cs="宋体"/>
                <w:sz w:val="24"/>
              </w:rPr>
              <w:t>2.整体咨询及技术服务方案能满足采购文件要求，设计思路理念较为清晰、合理，符合行业未来发展趋势；能够提出较为准确的总体技术框架和规划思路，并进行了较好的解析；提出的建设目标和技术解决方案具有较高的先进性、实用性和经济性，对项目实施有指导意义。（</w:t>
            </w:r>
            <w:r>
              <w:rPr>
                <w:rFonts w:hint="eastAsia" w:ascii="宋体" w:hAnsi="宋体" w:cs="方正黑体_GBK"/>
                <w:sz w:val="24"/>
              </w:rPr>
              <w:t>3</w:t>
            </w:r>
            <w:r>
              <w:rPr>
                <w:rFonts w:hint="eastAsia" w:ascii="宋体" w:hAnsi="宋体" w:cs="宋体"/>
                <w:sz w:val="24"/>
              </w:rPr>
              <w:t>分）</w:t>
            </w:r>
          </w:p>
          <w:p w14:paraId="603F04E2">
            <w:pPr>
              <w:ind w:firstLine="480" w:firstLineChars="200"/>
              <w:rPr>
                <w:rFonts w:ascii="宋体" w:hAnsi="宋体" w:cs="宋体"/>
                <w:sz w:val="24"/>
              </w:rPr>
            </w:pPr>
            <w:r>
              <w:rPr>
                <w:rFonts w:hint="eastAsia" w:ascii="宋体" w:hAnsi="宋体" w:cs="宋体"/>
                <w:sz w:val="24"/>
              </w:rPr>
              <w:t>3.整体咨询及技术服务方案基本满足采购文件基本要求，总体设计思路理念基本清晰、合理，基本符合发展趋势；提出的总体技术框架和规划思路基本准确，解析一般；建设目标和技术解决方案在先进性、实用性或经济性方面存在部分不足，但整体尚可接受。（1分）</w:t>
            </w:r>
          </w:p>
          <w:p w14:paraId="6CAB2B44">
            <w:pPr>
              <w:ind w:firstLine="480" w:firstLineChars="200"/>
              <w:rPr>
                <w:rFonts w:ascii="宋体" w:hAnsi="宋体" w:cs="宋体"/>
                <w:sz w:val="24"/>
              </w:rPr>
            </w:pPr>
            <w:r>
              <w:rPr>
                <w:rFonts w:hint="eastAsia" w:ascii="宋体" w:hAnsi="宋体" w:cs="宋体"/>
                <w:sz w:val="24"/>
              </w:rPr>
              <w:t>4.</w:t>
            </w:r>
            <w:r>
              <w:t xml:space="preserve"> </w:t>
            </w:r>
            <w:r>
              <w:rPr>
                <w:rFonts w:ascii="宋体" w:hAnsi="宋体" w:cs="宋体"/>
                <w:sz w:val="24"/>
              </w:rPr>
              <w:t>总体设计思路理念不清晰、缺乏科学性或不合理；未能准确提出总体技术框架和规划思路，解析不清或存在明显错误；建设目标和技术解决方案缺乏先进性、实用性或经济性，存在重大缺陷或不可行</w:t>
            </w:r>
            <w:r>
              <w:rPr>
                <w:rFonts w:hint="eastAsia" w:ascii="宋体" w:hAnsi="宋体" w:cs="宋体"/>
                <w:sz w:val="24"/>
              </w:rPr>
              <w:t>或者</w:t>
            </w:r>
            <w:r>
              <w:rPr>
                <w:rFonts w:ascii="宋体" w:hAnsi="宋体" w:cs="宋体"/>
                <w:sz w:val="24"/>
              </w:rPr>
              <w:t>未提供相关方案。</w:t>
            </w:r>
            <w:r>
              <w:rPr>
                <w:rFonts w:hint="eastAsia" w:ascii="宋体" w:hAnsi="宋体" w:cs="宋体"/>
                <w:sz w:val="24"/>
              </w:rPr>
              <w:t>（0分）</w:t>
            </w:r>
          </w:p>
        </w:tc>
        <w:tc>
          <w:tcPr>
            <w:tcW w:w="715" w:type="dxa"/>
            <w:noWrap/>
            <w:vAlign w:val="center"/>
          </w:tcPr>
          <w:p w14:paraId="25004128">
            <w:pPr>
              <w:jc w:val="center"/>
              <w:rPr>
                <w:rFonts w:ascii="宋体" w:hAnsi="宋体" w:cs="宋体"/>
                <w:sz w:val="24"/>
              </w:rPr>
            </w:pPr>
            <w:r>
              <w:rPr>
                <w:rFonts w:hint="eastAsia" w:ascii="宋体" w:hAnsi="宋体" w:cs="方正黑体_GBK"/>
                <w:sz w:val="24"/>
              </w:rPr>
              <w:t>5</w:t>
            </w:r>
          </w:p>
        </w:tc>
      </w:tr>
      <w:tr w14:paraId="6F26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trPr>
        <w:tc>
          <w:tcPr>
            <w:tcW w:w="761" w:type="dxa"/>
            <w:noWrap/>
            <w:vAlign w:val="center"/>
          </w:tcPr>
          <w:p w14:paraId="7802DCE4">
            <w:pPr>
              <w:jc w:val="center"/>
              <w:rPr>
                <w:rFonts w:ascii="宋体" w:hAnsi="宋体" w:cs="宋体"/>
                <w:sz w:val="24"/>
              </w:rPr>
            </w:pPr>
            <w:r>
              <w:rPr>
                <w:rFonts w:hint="eastAsia" w:ascii="宋体" w:hAnsi="宋体" w:cs="宋体"/>
                <w:sz w:val="24"/>
              </w:rPr>
              <w:t>2</w:t>
            </w:r>
          </w:p>
        </w:tc>
        <w:tc>
          <w:tcPr>
            <w:tcW w:w="1305" w:type="dxa"/>
            <w:noWrap/>
            <w:vAlign w:val="center"/>
          </w:tcPr>
          <w:p w14:paraId="20E0FF0E">
            <w:pPr>
              <w:jc w:val="center"/>
              <w:rPr>
                <w:rFonts w:ascii="宋体" w:hAnsi="宋体" w:cs="宋体"/>
                <w:sz w:val="24"/>
              </w:rPr>
            </w:pPr>
            <w:r>
              <w:rPr>
                <w:rFonts w:hint="eastAsia" w:ascii="宋体" w:hAnsi="宋体" w:cs="宋体"/>
                <w:sz w:val="24"/>
              </w:rPr>
              <w:t>质量标准控制措施</w:t>
            </w:r>
          </w:p>
        </w:tc>
        <w:tc>
          <w:tcPr>
            <w:tcW w:w="6255" w:type="dxa"/>
            <w:noWrap/>
            <w:vAlign w:val="center"/>
          </w:tcPr>
          <w:p w14:paraId="72A58909">
            <w:pPr>
              <w:ind w:firstLine="480" w:firstLineChars="200"/>
              <w:rPr>
                <w:rFonts w:ascii="宋体" w:hAnsi="宋体" w:cs="宋体"/>
                <w:sz w:val="24"/>
              </w:rPr>
            </w:pPr>
            <w:r>
              <w:rPr>
                <w:rFonts w:hint="eastAsia" w:ascii="宋体" w:hAnsi="宋体" w:cs="宋体"/>
                <w:sz w:val="24"/>
              </w:rPr>
              <w:t>根据质量标准符合采购文件要求，明确质量目标，项目整体及分项工程有完整的质量保证体系，各专业的有机衔接；对可能出现的质量偏差有监控及应对措施等进行综合评审；</w:t>
            </w:r>
          </w:p>
          <w:p w14:paraId="53870D03">
            <w:pPr>
              <w:ind w:left="480"/>
              <w:rPr>
                <w:rFonts w:ascii="宋体" w:hAnsi="宋体" w:cs="宋体"/>
                <w:sz w:val="24"/>
              </w:rPr>
            </w:pPr>
            <w:r>
              <w:rPr>
                <w:rFonts w:hint="eastAsia" w:ascii="宋体" w:hAnsi="宋体" w:cs="宋体"/>
                <w:sz w:val="24"/>
              </w:rPr>
              <w:t>1.设计质量保障措施优秀合理，得10分；</w:t>
            </w:r>
          </w:p>
          <w:p w14:paraId="7F0B17E8">
            <w:pPr>
              <w:ind w:left="480"/>
              <w:rPr>
                <w:rFonts w:ascii="宋体" w:hAnsi="宋体" w:cs="宋体"/>
                <w:sz w:val="24"/>
              </w:rPr>
            </w:pPr>
            <w:r>
              <w:rPr>
                <w:rFonts w:hint="eastAsia" w:ascii="宋体" w:hAnsi="宋体" w:cs="宋体"/>
                <w:sz w:val="24"/>
              </w:rPr>
              <w:t>2.设计质量措施尚可的，得7分；</w:t>
            </w:r>
          </w:p>
          <w:p w14:paraId="67A12E18">
            <w:pPr>
              <w:ind w:left="480"/>
              <w:rPr>
                <w:rFonts w:ascii="宋体" w:hAnsi="宋体" w:cs="宋体"/>
                <w:sz w:val="24"/>
              </w:rPr>
            </w:pPr>
            <w:r>
              <w:rPr>
                <w:rFonts w:hint="eastAsia" w:ascii="宋体" w:hAnsi="宋体" w:cs="宋体"/>
                <w:sz w:val="24"/>
              </w:rPr>
              <w:t>3.设计质量措施一般，得4分；</w:t>
            </w:r>
          </w:p>
          <w:p w14:paraId="2D7230A7">
            <w:pPr>
              <w:ind w:left="480"/>
              <w:rPr>
                <w:rFonts w:ascii="宋体" w:hAnsi="宋体" w:cs="宋体"/>
                <w:sz w:val="24"/>
              </w:rPr>
            </w:pPr>
            <w:r>
              <w:rPr>
                <w:rFonts w:hint="eastAsia" w:ascii="宋体" w:hAnsi="宋体" w:cs="宋体"/>
                <w:sz w:val="24"/>
              </w:rPr>
              <w:t>4.设计质量措施较差的，得1分；</w:t>
            </w:r>
          </w:p>
          <w:p w14:paraId="10C139A8">
            <w:pPr>
              <w:ind w:firstLine="480" w:firstLineChars="200"/>
              <w:rPr>
                <w:rFonts w:ascii="宋体" w:hAnsi="宋体" w:cs="宋体"/>
                <w:sz w:val="24"/>
              </w:rPr>
            </w:pPr>
            <w:r>
              <w:rPr>
                <w:rFonts w:hint="eastAsia" w:ascii="宋体" w:hAnsi="宋体" w:cs="宋体"/>
                <w:sz w:val="24"/>
              </w:rPr>
              <w:t>5.未提供的，得0分</w:t>
            </w:r>
          </w:p>
        </w:tc>
        <w:tc>
          <w:tcPr>
            <w:tcW w:w="715" w:type="dxa"/>
            <w:noWrap/>
            <w:vAlign w:val="center"/>
          </w:tcPr>
          <w:p w14:paraId="5FCDA457">
            <w:pPr>
              <w:jc w:val="center"/>
              <w:rPr>
                <w:rFonts w:ascii="宋体" w:hAnsi="宋体" w:cs="宋体"/>
                <w:sz w:val="24"/>
              </w:rPr>
            </w:pPr>
            <w:r>
              <w:rPr>
                <w:rFonts w:hint="eastAsia" w:ascii="宋体" w:hAnsi="宋体" w:cs="宋体"/>
                <w:sz w:val="24"/>
              </w:rPr>
              <w:t>10</w:t>
            </w:r>
          </w:p>
        </w:tc>
      </w:tr>
      <w:tr w14:paraId="380E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1" w:type="dxa"/>
            <w:noWrap/>
            <w:vAlign w:val="center"/>
          </w:tcPr>
          <w:p w14:paraId="3613D04C">
            <w:pPr>
              <w:jc w:val="center"/>
              <w:rPr>
                <w:rFonts w:ascii="宋体" w:hAnsi="宋体" w:cs="宋体"/>
                <w:sz w:val="24"/>
              </w:rPr>
            </w:pPr>
            <w:r>
              <w:rPr>
                <w:rFonts w:hint="eastAsia" w:ascii="宋体" w:hAnsi="宋体" w:cs="宋体"/>
                <w:sz w:val="24"/>
              </w:rPr>
              <w:t>3</w:t>
            </w:r>
          </w:p>
        </w:tc>
        <w:tc>
          <w:tcPr>
            <w:tcW w:w="1305" w:type="dxa"/>
            <w:noWrap/>
            <w:vAlign w:val="center"/>
          </w:tcPr>
          <w:p w14:paraId="4FFC1EC3">
            <w:pPr>
              <w:jc w:val="center"/>
              <w:rPr>
                <w:rFonts w:ascii="宋体" w:hAnsi="宋体" w:cs="宋体"/>
                <w:sz w:val="24"/>
              </w:rPr>
            </w:pPr>
            <w:r>
              <w:rPr>
                <w:rFonts w:hint="eastAsia" w:ascii="宋体" w:hAnsi="宋体" w:cs="宋体"/>
                <w:sz w:val="24"/>
              </w:rPr>
              <w:t>进度计划及保障措施</w:t>
            </w:r>
          </w:p>
        </w:tc>
        <w:tc>
          <w:tcPr>
            <w:tcW w:w="6255" w:type="dxa"/>
            <w:noWrap/>
            <w:vAlign w:val="center"/>
          </w:tcPr>
          <w:p w14:paraId="1634FFBA">
            <w:pPr>
              <w:ind w:firstLine="480" w:firstLineChars="200"/>
              <w:rPr>
                <w:rFonts w:ascii="宋体" w:hAnsi="宋体" w:cs="宋体"/>
                <w:sz w:val="24"/>
              </w:rPr>
            </w:pPr>
            <w:r>
              <w:rPr>
                <w:rFonts w:hint="eastAsia" w:ascii="宋体" w:hAnsi="宋体" w:cs="宋体"/>
                <w:sz w:val="24"/>
              </w:rPr>
              <w:t>根据设计进度控制和各阶段进度的保证措施及违约承诺进行综合评审。</w:t>
            </w:r>
          </w:p>
          <w:p w14:paraId="0A4330BB">
            <w:pPr>
              <w:numPr>
                <w:ilvl w:val="0"/>
                <w:numId w:val="2"/>
              </w:numPr>
              <w:ind w:firstLine="480" w:firstLineChars="200"/>
              <w:rPr>
                <w:rFonts w:ascii="宋体" w:hAnsi="宋体" w:cs="宋体"/>
                <w:sz w:val="24"/>
              </w:rPr>
            </w:pPr>
            <w:r>
              <w:rPr>
                <w:rFonts w:hint="eastAsia" w:ascii="宋体" w:hAnsi="宋体" w:cs="宋体"/>
                <w:sz w:val="24"/>
              </w:rPr>
              <w:t>项目进度计划安排以及进度保障措施的合理性、可行性、周全性等内容优秀的，得10分；</w:t>
            </w:r>
          </w:p>
          <w:p w14:paraId="4EB12536">
            <w:pPr>
              <w:numPr>
                <w:ilvl w:val="0"/>
                <w:numId w:val="2"/>
              </w:numPr>
              <w:ind w:firstLine="480" w:firstLineChars="200"/>
              <w:rPr>
                <w:rFonts w:ascii="宋体" w:hAnsi="宋体" w:cs="宋体"/>
                <w:sz w:val="24"/>
              </w:rPr>
            </w:pPr>
            <w:r>
              <w:rPr>
                <w:rFonts w:hint="eastAsia" w:ascii="宋体" w:hAnsi="宋体" w:cs="宋体"/>
                <w:sz w:val="24"/>
              </w:rPr>
              <w:t>项目进度计划安排以及进度保障措施的合理性、可行性、周全性等内容尚可的，得7分；</w:t>
            </w:r>
          </w:p>
          <w:p w14:paraId="7CED7A0E">
            <w:pPr>
              <w:numPr>
                <w:ilvl w:val="0"/>
                <w:numId w:val="2"/>
              </w:numPr>
              <w:ind w:firstLine="480" w:firstLineChars="200"/>
              <w:rPr>
                <w:rFonts w:ascii="宋体" w:hAnsi="宋体" w:cs="宋体"/>
                <w:sz w:val="24"/>
              </w:rPr>
            </w:pPr>
            <w:r>
              <w:rPr>
                <w:rFonts w:hint="eastAsia" w:ascii="宋体" w:hAnsi="宋体" w:cs="宋体"/>
                <w:sz w:val="24"/>
              </w:rPr>
              <w:t>项目进度计划安排以及进度保障措施不合理，缺乏可行性的得4分；</w:t>
            </w:r>
          </w:p>
          <w:p w14:paraId="3D706B70">
            <w:pPr>
              <w:numPr>
                <w:ilvl w:val="0"/>
                <w:numId w:val="2"/>
              </w:numPr>
              <w:ind w:firstLine="480" w:firstLineChars="200"/>
              <w:rPr>
                <w:rFonts w:ascii="宋体" w:hAnsi="宋体" w:cs="宋体"/>
                <w:sz w:val="24"/>
              </w:rPr>
            </w:pPr>
            <w:r>
              <w:rPr>
                <w:rFonts w:hint="eastAsia" w:ascii="宋体" w:hAnsi="宋体" w:cs="宋体"/>
                <w:sz w:val="24"/>
              </w:rPr>
              <w:t>项目进度计划安排以及进度保障措施较差的，得1分；</w:t>
            </w:r>
          </w:p>
          <w:p w14:paraId="1CD68760">
            <w:pPr>
              <w:numPr>
                <w:ilvl w:val="0"/>
                <w:numId w:val="2"/>
              </w:numPr>
              <w:ind w:firstLine="480" w:firstLineChars="200"/>
              <w:rPr>
                <w:rFonts w:ascii="宋体" w:hAnsi="宋体" w:cs="宋体"/>
                <w:sz w:val="24"/>
              </w:rPr>
            </w:pPr>
            <w:r>
              <w:rPr>
                <w:rFonts w:hint="eastAsia" w:ascii="宋体" w:hAnsi="宋体" w:cs="宋体"/>
                <w:sz w:val="24"/>
              </w:rPr>
              <w:t>未提供得0分。</w:t>
            </w:r>
          </w:p>
        </w:tc>
        <w:tc>
          <w:tcPr>
            <w:tcW w:w="715" w:type="dxa"/>
            <w:noWrap/>
            <w:vAlign w:val="center"/>
          </w:tcPr>
          <w:p w14:paraId="6D141FA0">
            <w:pPr>
              <w:jc w:val="center"/>
              <w:rPr>
                <w:rFonts w:ascii="宋体" w:hAnsi="宋体" w:cs="宋体"/>
                <w:sz w:val="24"/>
              </w:rPr>
            </w:pPr>
            <w:r>
              <w:rPr>
                <w:rFonts w:hint="eastAsia" w:ascii="宋体" w:hAnsi="宋体" w:cs="宋体"/>
                <w:sz w:val="24"/>
              </w:rPr>
              <w:t>10</w:t>
            </w:r>
          </w:p>
        </w:tc>
      </w:tr>
      <w:tr w14:paraId="2710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9036" w:type="dxa"/>
            <w:gridSpan w:val="4"/>
            <w:noWrap/>
            <w:vAlign w:val="center"/>
          </w:tcPr>
          <w:p w14:paraId="7AC65DFC">
            <w:pPr>
              <w:jc w:val="center"/>
              <w:rPr>
                <w:rFonts w:ascii="宋体" w:hAnsi="宋体" w:cs="宋体"/>
                <w:sz w:val="24"/>
              </w:rPr>
            </w:pPr>
            <w:r>
              <w:rPr>
                <w:rFonts w:hint="eastAsia" w:ascii="宋体" w:hAnsi="宋体" w:cs="方正黑体_GBK"/>
                <w:sz w:val="24"/>
              </w:rPr>
              <w:t>（四）项目组织实施及项目成员评价（分值25分）</w:t>
            </w:r>
          </w:p>
        </w:tc>
      </w:tr>
      <w:tr w14:paraId="2DA6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noWrap/>
            <w:vAlign w:val="center"/>
          </w:tcPr>
          <w:p w14:paraId="428F8114">
            <w:pPr>
              <w:jc w:val="center"/>
              <w:rPr>
                <w:rFonts w:ascii="宋体" w:hAnsi="宋体" w:cs="宋体"/>
                <w:sz w:val="24"/>
              </w:rPr>
            </w:pPr>
            <w:r>
              <w:rPr>
                <w:rFonts w:hint="eastAsia" w:ascii="宋体" w:hAnsi="宋体" w:cs="宋体"/>
                <w:sz w:val="24"/>
              </w:rPr>
              <w:t>1</w:t>
            </w:r>
          </w:p>
        </w:tc>
        <w:tc>
          <w:tcPr>
            <w:tcW w:w="1305" w:type="dxa"/>
            <w:noWrap/>
            <w:vAlign w:val="center"/>
          </w:tcPr>
          <w:p w14:paraId="3DE39C21">
            <w:pPr>
              <w:jc w:val="center"/>
              <w:rPr>
                <w:rFonts w:ascii="宋体" w:hAnsi="宋体" w:cs="宋体"/>
                <w:sz w:val="24"/>
              </w:rPr>
            </w:pPr>
            <w:r>
              <w:rPr>
                <w:rFonts w:hint="eastAsia" w:ascii="宋体" w:hAnsi="宋体" w:cs="宋体"/>
                <w:sz w:val="24"/>
              </w:rPr>
              <w:t>项目负责人资质评价</w:t>
            </w:r>
          </w:p>
        </w:tc>
        <w:tc>
          <w:tcPr>
            <w:tcW w:w="6255" w:type="dxa"/>
            <w:noWrap/>
            <w:vAlign w:val="center"/>
          </w:tcPr>
          <w:p w14:paraId="5FE9659E">
            <w:pPr>
              <w:ind w:firstLine="480" w:firstLineChars="200"/>
              <w:rPr>
                <w:rFonts w:ascii="宋体" w:hAnsi="宋体" w:cs="宋体"/>
                <w:sz w:val="24"/>
              </w:rPr>
            </w:pPr>
            <w:r>
              <w:rPr>
                <w:rFonts w:hint="eastAsia" w:ascii="宋体" w:hAnsi="宋体" w:cs="宋体"/>
                <w:sz w:val="24"/>
              </w:rPr>
              <w:t>项目负责人具备正高级工程师（电子信息工程类）、咨询工程师（电子、信息工程）、信息系统项目管理师（高级）、注册一级建造师（通信工程或机电工程专业），每提供1个证书得2分，本项满分8分。</w:t>
            </w:r>
          </w:p>
          <w:p w14:paraId="17EC511E">
            <w:pPr>
              <w:ind w:firstLine="480" w:firstLineChars="200"/>
              <w:rPr>
                <w:rFonts w:ascii="宋体" w:hAnsi="宋体" w:cs="宋体"/>
                <w:sz w:val="24"/>
              </w:rPr>
            </w:pPr>
            <w:r>
              <w:rPr>
                <w:rFonts w:hint="eastAsia" w:ascii="宋体" w:hAnsi="宋体" w:cs="宋体"/>
                <w:sz w:val="24"/>
              </w:rPr>
              <w:t>（项目负责人须提供专业人员资格证、职称证书等证明材料复印件加盖服务商公章，同时提供社会保障部门出具的响应截止日前连续六个月在本单位缴纳社会养老保险的缴费清单，若无社保，如派遣、返聘等不得分）。</w:t>
            </w:r>
          </w:p>
        </w:tc>
        <w:tc>
          <w:tcPr>
            <w:tcW w:w="715" w:type="dxa"/>
            <w:noWrap/>
            <w:vAlign w:val="center"/>
          </w:tcPr>
          <w:p w14:paraId="5FF0A2E5">
            <w:pPr>
              <w:jc w:val="center"/>
              <w:rPr>
                <w:rFonts w:ascii="宋体" w:hAnsi="宋体" w:cs="宋体"/>
                <w:sz w:val="24"/>
              </w:rPr>
            </w:pPr>
            <w:r>
              <w:rPr>
                <w:rFonts w:hint="eastAsia" w:ascii="宋体" w:hAnsi="宋体" w:cs="方正黑体_GBK"/>
                <w:sz w:val="24"/>
              </w:rPr>
              <w:t>8</w:t>
            </w:r>
          </w:p>
        </w:tc>
      </w:tr>
      <w:tr w14:paraId="51BC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noWrap/>
            <w:vAlign w:val="center"/>
          </w:tcPr>
          <w:p w14:paraId="56F9001C">
            <w:pPr>
              <w:jc w:val="center"/>
              <w:rPr>
                <w:rFonts w:ascii="宋体" w:hAnsi="宋体" w:cs="宋体"/>
                <w:sz w:val="24"/>
              </w:rPr>
            </w:pPr>
            <w:r>
              <w:rPr>
                <w:rFonts w:hint="eastAsia" w:ascii="宋体" w:hAnsi="宋体" w:cs="宋体"/>
                <w:sz w:val="24"/>
              </w:rPr>
              <w:t>2</w:t>
            </w:r>
          </w:p>
        </w:tc>
        <w:tc>
          <w:tcPr>
            <w:tcW w:w="1305" w:type="dxa"/>
            <w:noWrap/>
            <w:vAlign w:val="center"/>
          </w:tcPr>
          <w:p w14:paraId="29861202">
            <w:pPr>
              <w:jc w:val="center"/>
              <w:rPr>
                <w:rFonts w:ascii="宋体" w:hAnsi="宋体" w:cs="宋体"/>
                <w:sz w:val="24"/>
              </w:rPr>
            </w:pPr>
            <w:r>
              <w:rPr>
                <w:rFonts w:hint="eastAsia" w:ascii="宋体" w:hAnsi="宋体" w:cs="宋体"/>
                <w:sz w:val="24"/>
              </w:rPr>
              <w:t>项目组人员资质评价</w:t>
            </w:r>
          </w:p>
        </w:tc>
        <w:tc>
          <w:tcPr>
            <w:tcW w:w="6255" w:type="dxa"/>
            <w:noWrap/>
            <w:vAlign w:val="center"/>
          </w:tcPr>
          <w:p w14:paraId="176D966B">
            <w:pPr>
              <w:ind w:firstLine="480" w:firstLineChars="200"/>
              <w:rPr>
                <w:rFonts w:ascii="宋体" w:hAnsi="宋体" w:cs="宋体"/>
                <w:sz w:val="24"/>
              </w:rPr>
            </w:pPr>
            <w:r>
              <w:rPr>
                <w:rFonts w:hint="eastAsia" w:ascii="宋体" w:hAnsi="宋体" w:cs="宋体"/>
                <w:sz w:val="24"/>
              </w:rPr>
              <w:t>具备咨询工程师（电子、信息工程）、网络规划设计师（高级）、系统架构设计师(高级）、系统分析师（高级）、注册电气工程师（供配电）、数据中心机房规划设计工程师证书，每提供一种证书得2分，最高得12分，同一人员提供多个材料只能计算一次。</w:t>
            </w:r>
          </w:p>
          <w:p w14:paraId="6230497B">
            <w:pPr>
              <w:ind w:firstLine="480" w:firstLineChars="200"/>
              <w:rPr>
                <w:rFonts w:ascii="宋体" w:hAnsi="宋体" w:cs="宋体"/>
                <w:sz w:val="24"/>
              </w:rPr>
            </w:pPr>
            <w:r>
              <w:rPr>
                <w:rFonts w:hint="eastAsia" w:ascii="宋体" w:hAnsi="宋体" w:cs="宋体"/>
                <w:sz w:val="24"/>
              </w:rPr>
              <w:t>（项目组人员须提供专业人员资格证、职称证书等证明材料复印件加盖服务商公章，同时提供社会保障部门出具的</w:t>
            </w:r>
            <w:r>
              <w:rPr>
                <w:rFonts w:hint="eastAsia" w:ascii="宋体" w:hAnsi="宋体" w:cs="宋体"/>
                <w:sz w:val="28"/>
                <w:szCs w:val="21"/>
              </w:rPr>
              <w:t>响应</w:t>
            </w:r>
            <w:r>
              <w:rPr>
                <w:rFonts w:hint="eastAsia" w:ascii="宋体" w:hAnsi="宋体" w:cs="宋体"/>
                <w:sz w:val="24"/>
              </w:rPr>
              <w:t>截止日前连续六个月在本单位缴纳社会养老保险的缴费清单，若无社保，如派遣、返聘等不得分）。</w:t>
            </w:r>
          </w:p>
        </w:tc>
        <w:tc>
          <w:tcPr>
            <w:tcW w:w="715" w:type="dxa"/>
            <w:noWrap/>
            <w:vAlign w:val="center"/>
          </w:tcPr>
          <w:p w14:paraId="717FDFE1">
            <w:pPr>
              <w:jc w:val="center"/>
              <w:rPr>
                <w:rFonts w:ascii="宋体" w:hAnsi="宋体" w:cs="宋体"/>
                <w:sz w:val="24"/>
              </w:rPr>
            </w:pPr>
            <w:r>
              <w:rPr>
                <w:rFonts w:hint="eastAsia" w:ascii="宋体" w:hAnsi="宋体" w:cs="宋体"/>
                <w:sz w:val="24"/>
              </w:rPr>
              <w:t>12</w:t>
            </w:r>
          </w:p>
        </w:tc>
      </w:tr>
      <w:tr w14:paraId="0C5D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noWrap/>
            <w:vAlign w:val="center"/>
          </w:tcPr>
          <w:p w14:paraId="09697698">
            <w:pPr>
              <w:jc w:val="center"/>
              <w:rPr>
                <w:rFonts w:ascii="宋体" w:hAnsi="宋体" w:cs="宋体"/>
                <w:sz w:val="24"/>
              </w:rPr>
            </w:pPr>
            <w:r>
              <w:rPr>
                <w:rFonts w:hint="eastAsia" w:ascii="宋体" w:hAnsi="宋体" w:cs="宋体"/>
                <w:sz w:val="24"/>
              </w:rPr>
              <w:t>3</w:t>
            </w:r>
          </w:p>
        </w:tc>
        <w:tc>
          <w:tcPr>
            <w:tcW w:w="1305" w:type="dxa"/>
            <w:noWrap/>
            <w:vAlign w:val="center"/>
          </w:tcPr>
          <w:p w14:paraId="2DF75686">
            <w:pPr>
              <w:jc w:val="center"/>
              <w:rPr>
                <w:rFonts w:ascii="宋体" w:hAnsi="宋体" w:cs="宋体"/>
                <w:sz w:val="24"/>
              </w:rPr>
            </w:pPr>
            <w:r>
              <w:rPr>
                <w:rFonts w:hint="eastAsia" w:ascii="宋体" w:hAnsi="宋体" w:cs="宋体"/>
                <w:sz w:val="24"/>
              </w:rPr>
              <w:t>项目组织计划及保证措施</w:t>
            </w:r>
          </w:p>
        </w:tc>
        <w:tc>
          <w:tcPr>
            <w:tcW w:w="6255" w:type="dxa"/>
            <w:noWrap/>
            <w:vAlign w:val="center"/>
          </w:tcPr>
          <w:p w14:paraId="5481DC87">
            <w:pPr>
              <w:numPr>
                <w:ilvl w:val="0"/>
                <w:numId w:val="3"/>
              </w:numPr>
              <w:ind w:firstLine="480" w:firstLineChars="200"/>
              <w:rPr>
                <w:rFonts w:ascii="宋体" w:hAnsi="宋体" w:cs="宋体"/>
                <w:sz w:val="24"/>
              </w:rPr>
            </w:pPr>
            <w:r>
              <w:rPr>
                <w:rFonts w:hint="eastAsia" w:ascii="宋体" w:hAnsi="宋体" w:cs="宋体"/>
                <w:sz w:val="24"/>
              </w:rPr>
              <w:t>设计组织计划保障措施优秀合理的，得5分；</w:t>
            </w:r>
          </w:p>
          <w:p w14:paraId="14F60BAD">
            <w:pPr>
              <w:numPr>
                <w:ilvl w:val="0"/>
                <w:numId w:val="3"/>
              </w:numPr>
              <w:ind w:firstLine="480" w:firstLineChars="200"/>
              <w:rPr>
                <w:rFonts w:ascii="宋体" w:hAnsi="宋体" w:cs="宋体"/>
                <w:sz w:val="24"/>
              </w:rPr>
            </w:pPr>
            <w:r>
              <w:rPr>
                <w:rFonts w:hint="eastAsia" w:ascii="宋体" w:hAnsi="宋体" w:cs="宋体"/>
                <w:sz w:val="24"/>
              </w:rPr>
              <w:t>设计组织计划保障措施一般，得3分；</w:t>
            </w:r>
          </w:p>
          <w:p w14:paraId="2332FE33">
            <w:pPr>
              <w:numPr>
                <w:ilvl w:val="0"/>
                <w:numId w:val="3"/>
              </w:numPr>
              <w:ind w:firstLine="480" w:firstLineChars="200"/>
              <w:rPr>
                <w:rFonts w:ascii="宋体" w:hAnsi="宋体" w:cs="宋体"/>
                <w:sz w:val="24"/>
              </w:rPr>
            </w:pPr>
            <w:r>
              <w:rPr>
                <w:rFonts w:hint="eastAsia" w:ascii="宋体" w:hAnsi="宋体" w:cs="宋体"/>
                <w:sz w:val="24"/>
              </w:rPr>
              <w:t>设计组织计划保障措施较差得1分；</w:t>
            </w:r>
          </w:p>
          <w:p w14:paraId="04BF1A17">
            <w:pPr>
              <w:numPr>
                <w:ilvl w:val="0"/>
                <w:numId w:val="3"/>
              </w:numPr>
              <w:ind w:firstLine="480" w:firstLineChars="200"/>
              <w:rPr>
                <w:rFonts w:ascii="宋体" w:hAnsi="宋体" w:cs="宋体"/>
                <w:sz w:val="24"/>
              </w:rPr>
            </w:pPr>
            <w:r>
              <w:rPr>
                <w:rFonts w:hint="eastAsia" w:ascii="宋体" w:hAnsi="宋体" w:cs="宋体"/>
                <w:sz w:val="24"/>
              </w:rPr>
              <w:t>未提供得0分。</w:t>
            </w:r>
          </w:p>
        </w:tc>
        <w:tc>
          <w:tcPr>
            <w:tcW w:w="715" w:type="dxa"/>
            <w:noWrap/>
            <w:vAlign w:val="center"/>
          </w:tcPr>
          <w:p w14:paraId="32589BCE">
            <w:pPr>
              <w:jc w:val="center"/>
              <w:rPr>
                <w:rFonts w:ascii="宋体" w:hAnsi="宋体" w:cs="宋体"/>
                <w:sz w:val="24"/>
              </w:rPr>
            </w:pPr>
            <w:r>
              <w:rPr>
                <w:rFonts w:hint="eastAsia" w:ascii="宋体" w:hAnsi="宋体" w:cs="宋体"/>
                <w:sz w:val="24"/>
              </w:rPr>
              <w:t>5</w:t>
            </w:r>
          </w:p>
        </w:tc>
      </w:tr>
    </w:tbl>
    <w:p w14:paraId="4C46305F">
      <w:pPr>
        <w:spacing w:line="360" w:lineRule="auto"/>
        <w:rPr>
          <w:rFonts w:ascii="宋体" w:hAnsi="宋体" w:cs="宋体"/>
          <w:color w:val="000000" w:themeColor="text1"/>
          <w:sz w:val="32"/>
          <w:szCs w:val="32"/>
          <w14:textFill>
            <w14:solidFill>
              <w14:schemeClr w14:val="tx1"/>
            </w14:solidFill>
          </w14:textFill>
        </w:rPr>
      </w:pPr>
    </w:p>
    <w:sectPr>
      <w:headerReference r:id="rId3" w:type="default"/>
      <w:footerReference r:id="rId4" w:type="default"/>
      <w:pgSz w:w="11906" w:h="16838"/>
      <w:pgMar w:top="1440" w:right="1416" w:bottom="1440" w:left="1797"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新宋体">
    <w:panose1 w:val="02010609030101010101"/>
    <w:charset w:val="86"/>
    <w:family w:val="modern"/>
    <w:pitch w:val="default"/>
    <w:sig w:usb0="00000203" w:usb1="288F0000" w:usb2="00000006" w:usb3="00000000" w:csb0="00040001"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ˎ̥">
    <w:altName w:val="Segoe Print"/>
    <w:panose1 w:val="00000000000000000000"/>
    <w:charset w:val="00"/>
    <w:family w:val="roman"/>
    <w:pitch w:val="default"/>
    <w:sig w:usb0="00000000" w:usb1="00000000" w:usb2="00000000" w:usb3="00000000" w:csb0="00000000" w:csb1="00000000"/>
  </w:font>
  <w:font w:name="苹方-简">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10" w:usb3="00000000" w:csb0="0004009F" w:csb1="00000000"/>
  </w:font>
  <w:font w:name="黑体-简">
    <w:altName w:val="黑体"/>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方正黑体_GBK">
    <w:panose1 w:val="02010600010101010101"/>
    <w:charset w:val="86"/>
    <w:family w:val="script"/>
    <w:pitch w:val="default"/>
    <w:sig w:usb0="00000001" w:usb1="080E0000" w:usb2="00000000" w:usb3="00000000" w:csb0="00040000" w:csb1="00000000"/>
    <w:embedRegular r:id="rId1" w:fontKey="{66B4D3BC-63E7-42B2-9E4E-D49968CBF0C9}"/>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2149">
    <w:pPr>
      <w:pStyle w:val="248"/>
    </w:pPr>
    <w:r>
      <mc:AlternateContent>
        <mc:Choice Requires="wps">
          <w:drawing>
            <wp:anchor distT="0" distB="0" distL="114300" distR="114300" simplePos="0" relativeHeight="251660288" behindDoc="0" locked="0" layoutInCell="1" allowOverlap="1">
              <wp:simplePos x="0" y="0"/>
              <wp:positionH relativeFrom="margin">
                <wp:posOffset>2260600</wp:posOffset>
              </wp:positionH>
              <wp:positionV relativeFrom="paragraph">
                <wp:posOffset>3810</wp:posOffset>
              </wp:positionV>
              <wp:extent cx="1243965" cy="1828800"/>
              <wp:effectExtent l="0" t="0" r="13970" b="3175"/>
              <wp:wrapNone/>
              <wp:docPr id="1" name="文本框 1"/>
              <wp:cNvGraphicFramePr/>
              <a:graphic xmlns:a="http://schemas.openxmlformats.org/drawingml/2006/main">
                <a:graphicData uri="http://schemas.microsoft.com/office/word/2010/wordprocessingShape">
                  <wps:wsp>
                    <wps:cNvSpPr txBox="1"/>
                    <wps:spPr bwMode="auto">
                      <a:xfrm>
                        <a:off x="0" y="0"/>
                        <a:ext cx="1243914" cy="1828800"/>
                      </a:xfrm>
                      <a:prstGeom prst="rect">
                        <a:avLst/>
                      </a:prstGeom>
                      <a:noFill/>
                      <a:ln>
                        <a:noFill/>
                      </a:ln>
                    </wps:spPr>
                    <wps:txbx>
                      <w:txbxContent>
                        <w:p w14:paraId="75A7DC3F">
                          <w:pPr>
                            <w:pStyle w:val="248"/>
                            <w:tabs>
                              <w:tab w:val="clear" w:pos="4153"/>
                              <w:tab w:val="clear" w:pos="8306"/>
                            </w:tabs>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p w14:paraId="43B95C31"/>
                      </w:txbxContent>
                    </wps:txbx>
                    <wps:bodyPr wrap="square" lIns="0" tIns="0" rIns="0" bIns="0" upright="1">
                      <a:spAutoFit/>
                    </wps:bodyPr>
                  </wps:wsp>
                </a:graphicData>
              </a:graphic>
            </wp:anchor>
          </w:drawing>
        </mc:Choice>
        <mc:Fallback>
          <w:pict>
            <v:shape id="_x0000_s1026" o:spid="_x0000_s1026" o:spt="202" type="#_x0000_t202" style="position:absolute;left:0pt;margin-left:178pt;margin-top:0.3pt;height:144pt;width:97.95pt;mso-position-horizontal-relative:margin;z-index:251660288;mso-width-relative:page;mso-height-relative:page;" filled="f" stroked="f" coordsize="21600,21600" o:gfxdata="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CQP0fWAAAACAEAAA8AAAAAAAAA&#10;AQAgAAAAIgAAAGRycy9kb3ducmV2LnhtbFBLAQIUABQAAAAIAIdO4kCKbykF2gEAAKkDAAAOAAAA&#10;AAAAAAEAIAAAACUBAABkcnMvZTJvRG9jLnhtbFBLBQYAAAAABgAGAFkBAABxBQAAAAA=&#10;">
              <v:fill on="f" focussize="0,0"/>
              <v:stroke on="f"/>
              <v:imagedata o:title=""/>
              <o:lock v:ext="edit" aspectratio="f"/>
              <v:textbox inset="0mm,0mm,0mm,0mm" style="mso-fit-shape-to-text:t;">
                <w:txbxContent>
                  <w:p w14:paraId="75A7DC3F">
                    <w:pPr>
                      <w:pStyle w:val="248"/>
                      <w:tabs>
                        <w:tab w:val="clear" w:pos="4153"/>
                        <w:tab w:val="clear" w:pos="8306"/>
                      </w:tabs>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p w14:paraId="43B95C31"/>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4F6AD">
    <w:pPr>
      <w:pStyle w:val="250"/>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C7FA5"/>
    <w:multiLevelType w:val="singleLevel"/>
    <w:tmpl w:val="9B2C7FA5"/>
    <w:lvl w:ilvl="0" w:tentative="0">
      <w:start w:val="1"/>
      <w:numFmt w:val="decimal"/>
      <w:suff w:val="nothing"/>
      <w:lvlText w:val="%1．"/>
      <w:lvlJc w:val="left"/>
      <w:pPr>
        <w:ind w:left="0" w:firstLine="400"/>
      </w:pPr>
      <w:rPr>
        <w:rFonts w:hint="default"/>
      </w:rPr>
    </w:lvl>
  </w:abstractNum>
  <w:abstractNum w:abstractNumId="1">
    <w:nsid w:val="1BAC55EF"/>
    <w:multiLevelType w:val="singleLevel"/>
    <w:tmpl w:val="1BAC55EF"/>
    <w:lvl w:ilvl="0" w:tentative="0">
      <w:start w:val="1"/>
      <w:numFmt w:val="decimal"/>
      <w:suff w:val="nothing"/>
      <w:lvlText w:val="%1．"/>
      <w:lvlJc w:val="left"/>
      <w:pPr>
        <w:ind w:left="0" w:firstLine="400"/>
      </w:pPr>
      <w:rPr>
        <w:rFonts w:hint="default"/>
      </w:rPr>
    </w:lvl>
  </w:abstractNum>
  <w:abstractNum w:abstractNumId="2">
    <w:nsid w:val="1DA171CD"/>
    <w:multiLevelType w:val="multilevel"/>
    <w:tmpl w:val="1DA171CD"/>
    <w:lvl w:ilvl="0" w:tentative="0">
      <w:start w:val="1"/>
      <w:numFmt w:val="bullet"/>
      <w:pStyle w:val="319"/>
      <w:lvlText w:val=""/>
      <w:lvlJc w:val="left"/>
      <w:pPr>
        <w:tabs>
          <w:tab w:val="left" w:pos="480"/>
        </w:tabs>
        <w:ind w:left="480" w:hanging="480"/>
      </w:pPr>
      <w:rPr>
        <w:rFonts w:ascii="Wingdings" w:hAnsi="Wingdings"/>
        <w:sz w:val="16"/>
      </w:rPr>
    </w:lvl>
    <w:lvl w:ilvl="1" w:tentative="0">
      <w:start w:val="1"/>
      <w:numFmt w:val="ideographTraditional"/>
      <w:lvlText w:val="%2、"/>
      <w:lvlJc w:val="left"/>
      <w:pPr>
        <w:tabs>
          <w:tab w:val="left" w:pos="960"/>
        </w:tabs>
        <w:ind w:left="960" w:hanging="480"/>
      </w:pPr>
    </w:lvl>
    <w:lvl w:ilvl="2" w:tentative="0">
      <w:start w:val="1"/>
      <w:numFmt w:val="lowerRoman"/>
      <w:lvlText w:val="%3."/>
      <w:lvlJc w:val="right"/>
      <w:pPr>
        <w:tabs>
          <w:tab w:val="left" w:pos="1440"/>
        </w:tabs>
        <w:ind w:left="1440" w:hanging="480"/>
      </w:pPr>
    </w:lvl>
    <w:lvl w:ilvl="3" w:tentative="0">
      <w:start w:val="1"/>
      <w:numFmt w:val="decimal"/>
      <w:lvlText w:val="%4."/>
      <w:lvlJc w:val="left"/>
      <w:pPr>
        <w:tabs>
          <w:tab w:val="left" w:pos="1920"/>
        </w:tabs>
        <w:ind w:left="1920" w:hanging="480"/>
      </w:pPr>
    </w:lvl>
    <w:lvl w:ilvl="4" w:tentative="0">
      <w:start w:val="1"/>
      <w:numFmt w:val="ideographTraditional"/>
      <w:lvlText w:val="%5、"/>
      <w:lvlJc w:val="left"/>
      <w:pPr>
        <w:tabs>
          <w:tab w:val="left" w:pos="2400"/>
        </w:tabs>
        <w:ind w:left="2400" w:hanging="480"/>
      </w:pPr>
    </w:lvl>
    <w:lvl w:ilvl="5" w:tentative="0">
      <w:start w:val="1"/>
      <w:numFmt w:val="lowerRoman"/>
      <w:lvlText w:val="%6."/>
      <w:lvlJc w:val="right"/>
      <w:pPr>
        <w:tabs>
          <w:tab w:val="left" w:pos="2880"/>
        </w:tabs>
        <w:ind w:left="2880" w:hanging="480"/>
      </w:pPr>
    </w:lvl>
    <w:lvl w:ilvl="6" w:tentative="0">
      <w:start w:val="1"/>
      <w:numFmt w:val="decimal"/>
      <w:lvlText w:val="%7."/>
      <w:lvlJc w:val="left"/>
      <w:pPr>
        <w:tabs>
          <w:tab w:val="left" w:pos="3360"/>
        </w:tabs>
        <w:ind w:left="3360" w:hanging="480"/>
      </w:pPr>
    </w:lvl>
    <w:lvl w:ilvl="7" w:tentative="0">
      <w:start w:val="1"/>
      <w:numFmt w:val="ideographTraditional"/>
      <w:lvlText w:val="%8、"/>
      <w:lvlJc w:val="left"/>
      <w:pPr>
        <w:tabs>
          <w:tab w:val="left" w:pos="3840"/>
        </w:tabs>
        <w:ind w:left="3840" w:hanging="480"/>
      </w:pPr>
    </w:lvl>
    <w:lvl w:ilvl="8" w:tentative="0">
      <w:start w:val="1"/>
      <w:numFmt w:val="lowerRoman"/>
      <w:lvlText w:val="%9."/>
      <w:lvlJc w:val="right"/>
      <w:pPr>
        <w:tabs>
          <w:tab w:val="left" w:pos="4320"/>
        </w:tabs>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0NmFkNTE5ODJmZWMzYjU1NTQyMzQyMzIwM2QzZDEifQ=="/>
  </w:docVars>
  <w:rsids>
    <w:rsidRoot w:val="00F32315"/>
    <w:rsid w:val="0000183E"/>
    <w:rsid w:val="0002663E"/>
    <w:rsid w:val="0002694A"/>
    <w:rsid w:val="00034808"/>
    <w:rsid w:val="00034C26"/>
    <w:rsid w:val="0004322C"/>
    <w:rsid w:val="0004346A"/>
    <w:rsid w:val="00043B26"/>
    <w:rsid w:val="000615FC"/>
    <w:rsid w:val="000651F3"/>
    <w:rsid w:val="000A6EF5"/>
    <w:rsid w:val="000B50FB"/>
    <w:rsid w:val="000C5B4D"/>
    <w:rsid w:val="000E1411"/>
    <w:rsid w:val="000F7E3A"/>
    <w:rsid w:val="00113C9E"/>
    <w:rsid w:val="00115977"/>
    <w:rsid w:val="001200AB"/>
    <w:rsid w:val="00125BD7"/>
    <w:rsid w:val="00144E4D"/>
    <w:rsid w:val="0015119D"/>
    <w:rsid w:val="00164DBE"/>
    <w:rsid w:val="0017498E"/>
    <w:rsid w:val="00175D36"/>
    <w:rsid w:val="001908B5"/>
    <w:rsid w:val="001A47F9"/>
    <w:rsid w:val="001B26A4"/>
    <w:rsid w:val="001D1CC0"/>
    <w:rsid w:val="001D6D64"/>
    <w:rsid w:val="001E0630"/>
    <w:rsid w:val="001E4FB7"/>
    <w:rsid w:val="001E7929"/>
    <w:rsid w:val="001F5687"/>
    <w:rsid w:val="00201B8D"/>
    <w:rsid w:val="00246777"/>
    <w:rsid w:val="00250058"/>
    <w:rsid w:val="00255E2A"/>
    <w:rsid w:val="00257ACD"/>
    <w:rsid w:val="00263272"/>
    <w:rsid w:val="002648A9"/>
    <w:rsid w:val="00275879"/>
    <w:rsid w:val="00276572"/>
    <w:rsid w:val="002767AE"/>
    <w:rsid w:val="00285C62"/>
    <w:rsid w:val="00290053"/>
    <w:rsid w:val="00295C6F"/>
    <w:rsid w:val="002A22E0"/>
    <w:rsid w:val="002A6A4E"/>
    <w:rsid w:val="002D15F2"/>
    <w:rsid w:val="00311B68"/>
    <w:rsid w:val="00311D3B"/>
    <w:rsid w:val="00321136"/>
    <w:rsid w:val="00330335"/>
    <w:rsid w:val="00332273"/>
    <w:rsid w:val="003915E0"/>
    <w:rsid w:val="0039749D"/>
    <w:rsid w:val="003C7FBE"/>
    <w:rsid w:val="004036D0"/>
    <w:rsid w:val="00413582"/>
    <w:rsid w:val="0044014B"/>
    <w:rsid w:val="00441685"/>
    <w:rsid w:val="0044695E"/>
    <w:rsid w:val="004612CA"/>
    <w:rsid w:val="00475C8E"/>
    <w:rsid w:val="004B3518"/>
    <w:rsid w:val="004E4688"/>
    <w:rsid w:val="004F41D0"/>
    <w:rsid w:val="0050227C"/>
    <w:rsid w:val="00510F7F"/>
    <w:rsid w:val="005238C2"/>
    <w:rsid w:val="0053204C"/>
    <w:rsid w:val="00554BC7"/>
    <w:rsid w:val="00565336"/>
    <w:rsid w:val="005B63C4"/>
    <w:rsid w:val="005C189A"/>
    <w:rsid w:val="005C2F74"/>
    <w:rsid w:val="005E5219"/>
    <w:rsid w:val="005E55BB"/>
    <w:rsid w:val="00600059"/>
    <w:rsid w:val="006150F6"/>
    <w:rsid w:val="00634E8A"/>
    <w:rsid w:val="006516FE"/>
    <w:rsid w:val="0065359A"/>
    <w:rsid w:val="0065740B"/>
    <w:rsid w:val="00664FC7"/>
    <w:rsid w:val="00671D6D"/>
    <w:rsid w:val="006A6D55"/>
    <w:rsid w:val="006F24AC"/>
    <w:rsid w:val="0070550B"/>
    <w:rsid w:val="007154F9"/>
    <w:rsid w:val="0075097D"/>
    <w:rsid w:val="007544A3"/>
    <w:rsid w:val="007564CE"/>
    <w:rsid w:val="007671E8"/>
    <w:rsid w:val="00773A93"/>
    <w:rsid w:val="0077518C"/>
    <w:rsid w:val="00777216"/>
    <w:rsid w:val="00777BE9"/>
    <w:rsid w:val="00784CDD"/>
    <w:rsid w:val="00793633"/>
    <w:rsid w:val="007A00AA"/>
    <w:rsid w:val="007A0D3D"/>
    <w:rsid w:val="007A561B"/>
    <w:rsid w:val="007A6B66"/>
    <w:rsid w:val="007C34E1"/>
    <w:rsid w:val="007C3C5E"/>
    <w:rsid w:val="007E60B6"/>
    <w:rsid w:val="007F64AD"/>
    <w:rsid w:val="00804632"/>
    <w:rsid w:val="0081718D"/>
    <w:rsid w:val="00820E99"/>
    <w:rsid w:val="00880379"/>
    <w:rsid w:val="00894FB7"/>
    <w:rsid w:val="008D42A0"/>
    <w:rsid w:val="008F2D63"/>
    <w:rsid w:val="009201CC"/>
    <w:rsid w:val="00925A00"/>
    <w:rsid w:val="00942A19"/>
    <w:rsid w:val="00950FC9"/>
    <w:rsid w:val="0095457E"/>
    <w:rsid w:val="0096187B"/>
    <w:rsid w:val="00973F3B"/>
    <w:rsid w:val="00975E9E"/>
    <w:rsid w:val="0098382F"/>
    <w:rsid w:val="00987378"/>
    <w:rsid w:val="0099130B"/>
    <w:rsid w:val="009A047C"/>
    <w:rsid w:val="009C20F6"/>
    <w:rsid w:val="009C546C"/>
    <w:rsid w:val="009D1457"/>
    <w:rsid w:val="00A07BCD"/>
    <w:rsid w:val="00A11A98"/>
    <w:rsid w:val="00A4348A"/>
    <w:rsid w:val="00A529FC"/>
    <w:rsid w:val="00A538A1"/>
    <w:rsid w:val="00A56616"/>
    <w:rsid w:val="00A77136"/>
    <w:rsid w:val="00AC7539"/>
    <w:rsid w:val="00AD0D89"/>
    <w:rsid w:val="00AD12D3"/>
    <w:rsid w:val="00AD210A"/>
    <w:rsid w:val="00AE7016"/>
    <w:rsid w:val="00B05CBD"/>
    <w:rsid w:val="00B07060"/>
    <w:rsid w:val="00B3488A"/>
    <w:rsid w:val="00B35F7E"/>
    <w:rsid w:val="00B4513C"/>
    <w:rsid w:val="00B622FE"/>
    <w:rsid w:val="00B65B59"/>
    <w:rsid w:val="00B82292"/>
    <w:rsid w:val="00BA3C85"/>
    <w:rsid w:val="00BB5116"/>
    <w:rsid w:val="00BE75AA"/>
    <w:rsid w:val="00C22F56"/>
    <w:rsid w:val="00C60D21"/>
    <w:rsid w:val="00C62027"/>
    <w:rsid w:val="00C773B9"/>
    <w:rsid w:val="00C8151B"/>
    <w:rsid w:val="00C879EC"/>
    <w:rsid w:val="00CC15EB"/>
    <w:rsid w:val="00CC4022"/>
    <w:rsid w:val="00CE344E"/>
    <w:rsid w:val="00CF472B"/>
    <w:rsid w:val="00D2398C"/>
    <w:rsid w:val="00D3360B"/>
    <w:rsid w:val="00D368EF"/>
    <w:rsid w:val="00D40B6F"/>
    <w:rsid w:val="00D6652D"/>
    <w:rsid w:val="00D74FEB"/>
    <w:rsid w:val="00D82315"/>
    <w:rsid w:val="00DA098C"/>
    <w:rsid w:val="00DA6732"/>
    <w:rsid w:val="00DD7FF2"/>
    <w:rsid w:val="00DF3721"/>
    <w:rsid w:val="00E00538"/>
    <w:rsid w:val="00E12872"/>
    <w:rsid w:val="00E16A0E"/>
    <w:rsid w:val="00E2562A"/>
    <w:rsid w:val="00E26AD6"/>
    <w:rsid w:val="00E4210F"/>
    <w:rsid w:val="00E44CE6"/>
    <w:rsid w:val="00E53527"/>
    <w:rsid w:val="00E62AC6"/>
    <w:rsid w:val="00E65811"/>
    <w:rsid w:val="00E76FF0"/>
    <w:rsid w:val="00E81D5A"/>
    <w:rsid w:val="00E92E42"/>
    <w:rsid w:val="00EB35F5"/>
    <w:rsid w:val="00ED0F4C"/>
    <w:rsid w:val="00ED5A05"/>
    <w:rsid w:val="00F12701"/>
    <w:rsid w:val="00F32315"/>
    <w:rsid w:val="00F66BBC"/>
    <w:rsid w:val="00F91B93"/>
    <w:rsid w:val="00F93EE1"/>
    <w:rsid w:val="00FA3B82"/>
    <w:rsid w:val="00FA6430"/>
    <w:rsid w:val="00FB3820"/>
    <w:rsid w:val="00FB3DCA"/>
    <w:rsid w:val="00FD2094"/>
    <w:rsid w:val="00FF2F72"/>
    <w:rsid w:val="00FF785C"/>
    <w:rsid w:val="00FF7DD9"/>
    <w:rsid w:val="01B91709"/>
    <w:rsid w:val="09B86E6B"/>
    <w:rsid w:val="0E9644C4"/>
    <w:rsid w:val="0E9D6BF5"/>
    <w:rsid w:val="15842905"/>
    <w:rsid w:val="165A5FA0"/>
    <w:rsid w:val="1B1D09D6"/>
    <w:rsid w:val="1C6B3380"/>
    <w:rsid w:val="209C38B2"/>
    <w:rsid w:val="229A01E6"/>
    <w:rsid w:val="23772347"/>
    <w:rsid w:val="270773A2"/>
    <w:rsid w:val="275D15EB"/>
    <w:rsid w:val="27CC4883"/>
    <w:rsid w:val="2C7E55D2"/>
    <w:rsid w:val="2F4E4D0E"/>
    <w:rsid w:val="31DB1398"/>
    <w:rsid w:val="33426764"/>
    <w:rsid w:val="351C4335"/>
    <w:rsid w:val="388C54AA"/>
    <w:rsid w:val="38BE55C8"/>
    <w:rsid w:val="39FC5BB1"/>
    <w:rsid w:val="3A035551"/>
    <w:rsid w:val="3CD41C57"/>
    <w:rsid w:val="3FAE63D0"/>
    <w:rsid w:val="41E15669"/>
    <w:rsid w:val="42983EAD"/>
    <w:rsid w:val="43394308"/>
    <w:rsid w:val="48584BA1"/>
    <w:rsid w:val="493B7D23"/>
    <w:rsid w:val="4ED84B4D"/>
    <w:rsid w:val="511377EB"/>
    <w:rsid w:val="53EB5363"/>
    <w:rsid w:val="546C2C9D"/>
    <w:rsid w:val="57FD1BAF"/>
    <w:rsid w:val="5847272A"/>
    <w:rsid w:val="60E04FE2"/>
    <w:rsid w:val="647454AC"/>
    <w:rsid w:val="649F3307"/>
    <w:rsid w:val="664C1263"/>
    <w:rsid w:val="69AD44CA"/>
    <w:rsid w:val="69B14CC3"/>
    <w:rsid w:val="721645D1"/>
    <w:rsid w:val="72876CC8"/>
    <w:rsid w:val="74E39CEC"/>
    <w:rsid w:val="75E6561B"/>
    <w:rsid w:val="772A798F"/>
    <w:rsid w:val="7B2C2BB5"/>
    <w:rsid w:val="7BEA01E7"/>
    <w:rsid w:val="7C4A37D5"/>
    <w:rsid w:val="F58FD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76"/>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77"/>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78"/>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79"/>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80"/>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8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82"/>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3"/>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4"/>
    <w:unhideWhenUsed/>
    <w:qFormat/>
    <w:uiPriority w:val="9"/>
    <w:pPr>
      <w:keepNext/>
      <w:keepLines/>
      <w:spacing w:before="320" w:after="200"/>
      <w:outlineLvl w:val="8"/>
    </w:pPr>
    <w:rPr>
      <w:rFonts w:ascii="Arial" w:hAnsi="Arial" w:eastAsia="Arial" w:cs="Arial"/>
      <w:i/>
      <w:iCs/>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annotation text"/>
    <w:basedOn w:val="1"/>
    <w:link w:val="356"/>
    <w:unhideWhenUsed/>
    <w:qFormat/>
    <w:uiPriority w:val="99"/>
    <w:pPr>
      <w:jc w:val="left"/>
    </w:pPr>
  </w:style>
  <w:style w:type="paragraph" w:styleId="14">
    <w:name w:val="toc 5"/>
    <w:basedOn w:val="1"/>
    <w:next w:val="1"/>
    <w:unhideWhenUsed/>
    <w:qFormat/>
    <w:uiPriority w:val="39"/>
    <w:pPr>
      <w:spacing w:after="57"/>
      <w:ind w:left="1134"/>
    </w:pPr>
  </w:style>
  <w:style w:type="paragraph" w:styleId="15">
    <w:name w:val="toc 3"/>
    <w:basedOn w:val="1"/>
    <w:next w:val="1"/>
    <w:unhideWhenUsed/>
    <w:qFormat/>
    <w:uiPriority w:val="39"/>
    <w:pPr>
      <w:spacing w:after="57"/>
      <w:ind w:left="567"/>
    </w:pPr>
  </w:style>
  <w:style w:type="paragraph" w:styleId="16">
    <w:name w:val="toc 8"/>
    <w:basedOn w:val="1"/>
    <w:next w:val="1"/>
    <w:unhideWhenUsed/>
    <w:qFormat/>
    <w:uiPriority w:val="39"/>
    <w:pPr>
      <w:spacing w:after="57"/>
      <w:ind w:left="1984"/>
    </w:pPr>
  </w:style>
  <w:style w:type="paragraph" w:styleId="17">
    <w:name w:val="endnote text"/>
    <w:basedOn w:val="1"/>
    <w:link w:val="203"/>
    <w:semiHidden/>
    <w:unhideWhenUsed/>
    <w:qFormat/>
    <w:uiPriority w:val="99"/>
    <w:rPr>
      <w:sz w:val="20"/>
    </w:rPr>
  </w:style>
  <w:style w:type="paragraph" w:styleId="18">
    <w:name w:val="Balloon Text"/>
    <w:basedOn w:val="1"/>
    <w:link w:val="355"/>
    <w:semiHidden/>
    <w:unhideWhenUsed/>
    <w:qFormat/>
    <w:uiPriority w:val="99"/>
    <w:rPr>
      <w:sz w:val="18"/>
      <w:szCs w:val="18"/>
    </w:rPr>
  </w:style>
  <w:style w:type="paragraph" w:styleId="19">
    <w:name w:val="footer"/>
    <w:basedOn w:val="1"/>
    <w:link w:val="95"/>
    <w:unhideWhenUsed/>
    <w:qFormat/>
    <w:uiPriority w:val="99"/>
    <w:pPr>
      <w:tabs>
        <w:tab w:val="center" w:pos="7143"/>
        <w:tab w:val="right" w:pos="14287"/>
      </w:tabs>
    </w:pPr>
  </w:style>
  <w:style w:type="paragraph" w:styleId="20">
    <w:name w:val="header"/>
    <w:basedOn w:val="1"/>
    <w:link w:val="93"/>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88"/>
    <w:qFormat/>
    <w:uiPriority w:val="11"/>
    <w:pPr>
      <w:spacing w:before="200" w:after="200"/>
    </w:pPr>
    <w:rPr>
      <w:sz w:val="24"/>
    </w:rPr>
  </w:style>
  <w:style w:type="paragraph" w:styleId="24">
    <w:name w:val="footnote text"/>
    <w:basedOn w:val="1"/>
    <w:link w:val="202"/>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Title"/>
    <w:basedOn w:val="1"/>
    <w:next w:val="1"/>
    <w:link w:val="87"/>
    <w:qFormat/>
    <w:uiPriority w:val="10"/>
    <w:pPr>
      <w:spacing w:before="300" w:after="200"/>
      <w:contextualSpacing/>
    </w:pPr>
    <w:rPr>
      <w:sz w:val="48"/>
      <w:szCs w:val="48"/>
    </w:rPr>
  </w:style>
  <w:style w:type="paragraph" w:styleId="30">
    <w:name w:val="annotation subject"/>
    <w:basedOn w:val="13"/>
    <w:next w:val="13"/>
    <w:link w:val="357"/>
    <w:semiHidden/>
    <w:unhideWhenUsed/>
    <w:qFormat/>
    <w:uiPriority w:val="99"/>
    <w:rPr>
      <w:b/>
      <w:bCs/>
    </w:rPr>
  </w:style>
  <w:style w:type="table" w:styleId="32">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Strong"/>
    <w:basedOn w:val="33"/>
    <w:qFormat/>
    <w:uiPriority w:val="22"/>
    <w:rPr>
      <w:b/>
      <w:bCs/>
    </w:rPr>
  </w:style>
  <w:style w:type="character" w:styleId="35">
    <w:name w:val="endnote reference"/>
    <w:semiHidden/>
    <w:unhideWhenUsed/>
    <w:qFormat/>
    <w:uiPriority w:val="99"/>
    <w:rPr>
      <w:vertAlign w:val="superscript"/>
    </w:rPr>
  </w:style>
  <w:style w:type="character" w:styleId="36">
    <w:name w:val="Hyperlink"/>
    <w:unhideWhenUsed/>
    <w:qFormat/>
    <w:uiPriority w:val="99"/>
    <w:rPr>
      <w:color w:val="0000FF" w:themeColor="hyperlink"/>
      <w:u w:val="single"/>
      <w14:textFill>
        <w14:solidFill>
          <w14:schemeClr w14:val="hlink"/>
        </w14:solidFill>
      </w14:textFill>
    </w:rPr>
  </w:style>
  <w:style w:type="character" w:styleId="37">
    <w:name w:val="annotation reference"/>
    <w:basedOn w:val="33"/>
    <w:semiHidden/>
    <w:unhideWhenUsed/>
    <w:qFormat/>
    <w:uiPriority w:val="99"/>
    <w:rPr>
      <w:sz w:val="21"/>
      <w:szCs w:val="21"/>
    </w:rPr>
  </w:style>
  <w:style w:type="character" w:styleId="38">
    <w:name w:val="footnote reference"/>
    <w:unhideWhenUsed/>
    <w:qFormat/>
    <w:uiPriority w:val="99"/>
    <w:rPr>
      <w:vertAlign w:val="superscript"/>
    </w:rPr>
  </w:style>
  <w:style w:type="character" w:customStyle="1" w:styleId="39">
    <w:name w:val="Heading 1 Char"/>
    <w:basedOn w:val="33"/>
    <w:qFormat/>
    <w:uiPriority w:val="9"/>
    <w:rPr>
      <w:rFonts w:ascii="Arial" w:hAnsi="Arial" w:eastAsia="Arial" w:cs="Arial"/>
      <w:sz w:val="40"/>
      <w:szCs w:val="40"/>
    </w:rPr>
  </w:style>
  <w:style w:type="character" w:customStyle="1" w:styleId="40">
    <w:name w:val="Heading 2 Char"/>
    <w:basedOn w:val="33"/>
    <w:qFormat/>
    <w:uiPriority w:val="9"/>
    <w:rPr>
      <w:rFonts w:ascii="Arial" w:hAnsi="Arial" w:eastAsia="Arial" w:cs="Arial"/>
      <w:sz w:val="34"/>
    </w:rPr>
  </w:style>
  <w:style w:type="character" w:customStyle="1" w:styleId="41">
    <w:name w:val="Heading 3 Char"/>
    <w:basedOn w:val="33"/>
    <w:qFormat/>
    <w:uiPriority w:val="9"/>
    <w:rPr>
      <w:rFonts w:ascii="Arial" w:hAnsi="Arial" w:eastAsia="Arial" w:cs="Arial"/>
      <w:sz w:val="30"/>
      <w:szCs w:val="30"/>
    </w:rPr>
  </w:style>
  <w:style w:type="character" w:customStyle="1" w:styleId="42">
    <w:name w:val="Heading 4 Char"/>
    <w:basedOn w:val="33"/>
    <w:qFormat/>
    <w:uiPriority w:val="9"/>
    <w:rPr>
      <w:rFonts w:ascii="Arial" w:hAnsi="Arial" w:eastAsia="Arial" w:cs="Arial"/>
      <w:b/>
      <w:bCs/>
      <w:sz w:val="26"/>
      <w:szCs w:val="26"/>
    </w:rPr>
  </w:style>
  <w:style w:type="character" w:customStyle="1" w:styleId="43">
    <w:name w:val="Heading 5 Char"/>
    <w:basedOn w:val="33"/>
    <w:qFormat/>
    <w:uiPriority w:val="9"/>
    <w:rPr>
      <w:rFonts w:ascii="Arial" w:hAnsi="Arial" w:eastAsia="Arial" w:cs="Arial"/>
      <w:b/>
      <w:bCs/>
      <w:sz w:val="24"/>
      <w:szCs w:val="24"/>
    </w:rPr>
  </w:style>
  <w:style w:type="character" w:customStyle="1" w:styleId="44">
    <w:name w:val="Heading 6 Char"/>
    <w:basedOn w:val="33"/>
    <w:qFormat/>
    <w:uiPriority w:val="9"/>
    <w:rPr>
      <w:rFonts w:ascii="Arial" w:hAnsi="Arial" w:eastAsia="Arial" w:cs="Arial"/>
      <w:b/>
      <w:bCs/>
      <w:sz w:val="22"/>
      <w:szCs w:val="22"/>
    </w:rPr>
  </w:style>
  <w:style w:type="character" w:customStyle="1" w:styleId="45">
    <w:name w:val="Heading 7 Char"/>
    <w:basedOn w:val="33"/>
    <w:qFormat/>
    <w:uiPriority w:val="9"/>
    <w:rPr>
      <w:rFonts w:ascii="Arial" w:hAnsi="Arial" w:eastAsia="Arial" w:cs="Arial"/>
      <w:b/>
      <w:bCs/>
      <w:i/>
      <w:iCs/>
      <w:sz w:val="22"/>
      <w:szCs w:val="22"/>
    </w:rPr>
  </w:style>
  <w:style w:type="character" w:customStyle="1" w:styleId="46">
    <w:name w:val="Heading 8 Char"/>
    <w:basedOn w:val="33"/>
    <w:qFormat/>
    <w:uiPriority w:val="9"/>
    <w:rPr>
      <w:rFonts w:ascii="Arial" w:hAnsi="Arial" w:eastAsia="Arial" w:cs="Arial"/>
      <w:i/>
      <w:iCs/>
      <w:sz w:val="22"/>
      <w:szCs w:val="22"/>
    </w:rPr>
  </w:style>
  <w:style w:type="character" w:customStyle="1" w:styleId="47">
    <w:name w:val="Heading 9 Char"/>
    <w:basedOn w:val="33"/>
    <w:qFormat/>
    <w:uiPriority w:val="9"/>
    <w:rPr>
      <w:rFonts w:ascii="Arial" w:hAnsi="Arial" w:eastAsia="Arial" w:cs="Arial"/>
      <w:i/>
      <w:iCs/>
      <w:sz w:val="21"/>
      <w:szCs w:val="21"/>
    </w:rPr>
  </w:style>
  <w:style w:type="character" w:customStyle="1" w:styleId="48">
    <w:name w:val="Title Char"/>
    <w:basedOn w:val="33"/>
    <w:qFormat/>
    <w:uiPriority w:val="10"/>
    <w:rPr>
      <w:sz w:val="48"/>
      <w:szCs w:val="48"/>
    </w:rPr>
  </w:style>
  <w:style w:type="character" w:customStyle="1" w:styleId="49">
    <w:name w:val="Subtitle Char"/>
    <w:basedOn w:val="33"/>
    <w:qFormat/>
    <w:uiPriority w:val="11"/>
    <w:rPr>
      <w:sz w:val="24"/>
      <w:szCs w:val="24"/>
    </w:rPr>
  </w:style>
  <w:style w:type="character" w:customStyle="1" w:styleId="50">
    <w:name w:val="Quote Char"/>
    <w:qFormat/>
    <w:uiPriority w:val="29"/>
    <w:rPr>
      <w:i/>
    </w:rPr>
  </w:style>
  <w:style w:type="character" w:customStyle="1" w:styleId="51">
    <w:name w:val="Intense Quote Char"/>
    <w:qFormat/>
    <w:uiPriority w:val="30"/>
    <w:rPr>
      <w:i/>
    </w:rPr>
  </w:style>
  <w:style w:type="character" w:customStyle="1" w:styleId="52">
    <w:name w:val="Header Char"/>
    <w:basedOn w:val="33"/>
    <w:qFormat/>
    <w:uiPriority w:val="99"/>
  </w:style>
  <w:style w:type="character" w:customStyle="1" w:styleId="53">
    <w:name w:val="Caption Char"/>
    <w:qFormat/>
    <w:uiPriority w:val="99"/>
  </w:style>
  <w:style w:type="table" w:customStyle="1" w:styleId="54">
    <w:name w:val="无格式表格 11"/>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5">
    <w:name w:val="无格式表格 21"/>
    <w:basedOn w:val="3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无格式表格 31"/>
    <w:basedOn w:val="31"/>
    <w:qFormat/>
    <w:uiPriority w:val="99"/>
    <w:tblPr>
      <w:tblCellMar>
        <w:left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7">
    <w:name w:val="无格式表格 41"/>
    <w:basedOn w:val="31"/>
    <w:qFormat/>
    <w:uiPriority w:val="99"/>
    <w:tblPr>
      <w:tblCellMar>
        <w:left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8">
    <w:name w:val="无格式表格 51"/>
    <w:basedOn w:val="31"/>
    <w:qFormat/>
    <w:uiPriority w:val="99"/>
    <w:tblPr>
      <w:tblCellMar>
        <w:left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9">
    <w:name w:val="网格表 1 浅色1"/>
    <w:basedOn w:val="3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left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网格表 2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left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网格表 3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left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2">
    <w:name w:val="网格表 41"/>
    <w:basedOn w:val="3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left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3">
    <w:name w:val="网格表 5 深色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4">
    <w:name w:val="网格表 6 彩色1"/>
    <w:basedOn w:val="3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left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5">
    <w:name w:val="网格表 7 彩色1"/>
    <w:basedOn w:val="3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left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6">
    <w:name w:val="清单表 1 浅色1"/>
    <w:basedOn w:val="31"/>
    <w:qFormat/>
    <w:uiPriority w:val="99"/>
    <w:tblPr>
      <w:tblCellMar>
        <w:left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7">
    <w:name w:val="清单表 21"/>
    <w:basedOn w:val="3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left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8">
    <w:name w:val="清单表 3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9">
    <w:name w:val="清单表 4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0">
    <w:name w:val="清单表 5 深色1"/>
    <w:basedOn w:val="3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left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71">
    <w:name w:val="清单表 6 彩色1"/>
    <w:basedOn w:val="31"/>
    <w:qFormat/>
    <w:uiPriority w:val="99"/>
    <w:tblPr>
      <w:tblBorders>
        <w:top w:val="single" w:color="7E7E7E" w:themeColor="text1" w:themeTint="80" w:sz="4" w:space="0"/>
        <w:bottom w:val="single" w:color="7E7E7E" w:themeColor="text1" w:themeTint="80" w:sz="4" w:space="0"/>
      </w:tblBorders>
      <w:tblCellMar>
        <w:left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2">
    <w:name w:val="清单表 7 彩色1"/>
    <w:basedOn w:val="31"/>
    <w:qFormat/>
    <w:uiPriority w:val="99"/>
    <w:tblPr>
      <w:tblBorders>
        <w:right w:val="single" w:color="7E7E7E" w:themeColor="text1" w:themeTint="80" w:sz="4" w:space="0"/>
      </w:tblBorders>
      <w:tblCellMar>
        <w:left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3">
    <w:name w:val="Footnote Text Char"/>
    <w:qFormat/>
    <w:uiPriority w:val="99"/>
    <w:rPr>
      <w:sz w:val="18"/>
    </w:rPr>
  </w:style>
  <w:style w:type="character" w:customStyle="1" w:styleId="74">
    <w:name w:val="Endnote Text Char"/>
    <w:qFormat/>
    <w:uiPriority w:val="99"/>
    <w:rPr>
      <w:sz w:val="20"/>
    </w:rPr>
  </w:style>
  <w:style w:type="paragraph" w:customStyle="1" w:styleId="75">
    <w:name w:val="TOC 标题1"/>
    <w:unhideWhenUsed/>
    <w:qFormat/>
    <w:uiPriority w:val="39"/>
    <w:rPr>
      <w:rFonts w:ascii="Times New Roman" w:hAnsi="Times New Roman" w:eastAsia="宋体" w:cs="Times New Roman"/>
      <w:lang w:val="en-US" w:eastAsia="zh-CN" w:bidi="ar-SA"/>
    </w:rPr>
  </w:style>
  <w:style w:type="character" w:customStyle="1" w:styleId="76">
    <w:name w:val="标题 1 字符"/>
    <w:link w:val="2"/>
    <w:qFormat/>
    <w:uiPriority w:val="9"/>
    <w:rPr>
      <w:rFonts w:ascii="Arial" w:hAnsi="Arial" w:eastAsia="Arial" w:cs="Arial"/>
      <w:sz w:val="40"/>
      <w:szCs w:val="40"/>
    </w:rPr>
  </w:style>
  <w:style w:type="character" w:customStyle="1" w:styleId="77">
    <w:name w:val="标题 2 字符"/>
    <w:link w:val="3"/>
    <w:qFormat/>
    <w:uiPriority w:val="9"/>
    <w:rPr>
      <w:rFonts w:ascii="Arial" w:hAnsi="Arial" w:eastAsia="Arial" w:cs="Arial"/>
      <w:sz w:val="34"/>
    </w:rPr>
  </w:style>
  <w:style w:type="character" w:customStyle="1" w:styleId="78">
    <w:name w:val="标题 3 字符"/>
    <w:link w:val="4"/>
    <w:qFormat/>
    <w:uiPriority w:val="9"/>
    <w:rPr>
      <w:rFonts w:ascii="Arial" w:hAnsi="Arial" w:eastAsia="Arial" w:cs="Arial"/>
      <w:sz w:val="30"/>
      <w:szCs w:val="30"/>
    </w:rPr>
  </w:style>
  <w:style w:type="character" w:customStyle="1" w:styleId="79">
    <w:name w:val="标题 4 字符"/>
    <w:link w:val="5"/>
    <w:qFormat/>
    <w:uiPriority w:val="9"/>
    <w:rPr>
      <w:rFonts w:ascii="Arial" w:hAnsi="Arial" w:eastAsia="Arial" w:cs="Arial"/>
      <w:b/>
      <w:bCs/>
      <w:sz w:val="26"/>
      <w:szCs w:val="26"/>
    </w:rPr>
  </w:style>
  <w:style w:type="character" w:customStyle="1" w:styleId="80">
    <w:name w:val="标题 5 字符"/>
    <w:link w:val="6"/>
    <w:qFormat/>
    <w:uiPriority w:val="9"/>
    <w:rPr>
      <w:rFonts w:ascii="Arial" w:hAnsi="Arial" w:eastAsia="Arial" w:cs="Arial"/>
      <w:b/>
      <w:bCs/>
      <w:sz w:val="24"/>
      <w:szCs w:val="24"/>
    </w:rPr>
  </w:style>
  <w:style w:type="character" w:customStyle="1" w:styleId="81">
    <w:name w:val="标题 6 字符"/>
    <w:link w:val="7"/>
    <w:qFormat/>
    <w:uiPriority w:val="9"/>
    <w:rPr>
      <w:rFonts w:ascii="Arial" w:hAnsi="Arial" w:eastAsia="Arial" w:cs="Arial"/>
      <w:b/>
      <w:bCs/>
      <w:sz w:val="22"/>
      <w:szCs w:val="22"/>
    </w:rPr>
  </w:style>
  <w:style w:type="character" w:customStyle="1" w:styleId="82">
    <w:name w:val="标题 7 字符"/>
    <w:link w:val="8"/>
    <w:qFormat/>
    <w:uiPriority w:val="9"/>
    <w:rPr>
      <w:rFonts w:ascii="Arial" w:hAnsi="Arial" w:eastAsia="Arial" w:cs="Arial"/>
      <w:b/>
      <w:bCs/>
      <w:i/>
      <w:iCs/>
      <w:sz w:val="22"/>
      <w:szCs w:val="22"/>
    </w:rPr>
  </w:style>
  <w:style w:type="character" w:customStyle="1" w:styleId="83">
    <w:name w:val="标题 8 字符"/>
    <w:link w:val="9"/>
    <w:qFormat/>
    <w:uiPriority w:val="9"/>
    <w:rPr>
      <w:rFonts w:ascii="Arial" w:hAnsi="Arial" w:eastAsia="Arial" w:cs="Arial"/>
      <w:i/>
      <w:iCs/>
      <w:sz w:val="22"/>
      <w:szCs w:val="22"/>
    </w:rPr>
  </w:style>
  <w:style w:type="character" w:customStyle="1" w:styleId="84">
    <w:name w:val="标题 9 字符"/>
    <w:link w:val="10"/>
    <w:qFormat/>
    <w:uiPriority w:val="9"/>
    <w:rPr>
      <w:rFonts w:ascii="Arial" w:hAnsi="Arial" w:eastAsia="Arial" w:cs="Arial"/>
      <w:i/>
      <w:iCs/>
      <w:sz w:val="21"/>
      <w:szCs w:val="21"/>
    </w:rPr>
  </w:style>
  <w:style w:type="paragraph" w:styleId="85">
    <w:name w:val="List Paragraph"/>
    <w:basedOn w:val="1"/>
    <w:qFormat/>
    <w:uiPriority w:val="34"/>
    <w:pPr>
      <w:ind w:left="720"/>
      <w:contextualSpacing/>
    </w:pPr>
  </w:style>
  <w:style w:type="paragraph" w:styleId="86">
    <w:name w:val="No Spacing"/>
    <w:qFormat/>
    <w:uiPriority w:val="1"/>
    <w:rPr>
      <w:rFonts w:ascii="Times New Roman" w:hAnsi="Times New Roman" w:eastAsia="宋体" w:cs="Times New Roman"/>
      <w:lang w:val="en-US" w:eastAsia="zh-CN" w:bidi="ar-SA"/>
    </w:rPr>
  </w:style>
  <w:style w:type="character" w:customStyle="1" w:styleId="87">
    <w:name w:val="标题 字符"/>
    <w:link w:val="29"/>
    <w:qFormat/>
    <w:uiPriority w:val="10"/>
    <w:rPr>
      <w:sz w:val="48"/>
      <w:szCs w:val="48"/>
    </w:rPr>
  </w:style>
  <w:style w:type="character" w:customStyle="1" w:styleId="88">
    <w:name w:val="副标题 字符"/>
    <w:link w:val="23"/>
    <w:qFormat/>
    <w:uiPriority w:val="11"/>
    <w:rPr>
      <w:sz w:val="24"/>
      <w:szCs w:val="24"/>
    </w:rPr>
  </w:style>
  <w:style w:type="paragraph" w:styleId="89">
    <w:name w:val="Quote"/>
    <w:basedOn w:val="1"/>
    <w:next w:val="1"/>
    <w:link w:val="90"/>
    <w:qFormat/>
    <w:uiPriority w:val="29"/>
    <w:pPr>
      <w:ind w:left="720" w:right="720"/>
    </w:pPr>
    <w:rPr>
      <w:i/>
    </w:rPr>
  </w:style>
  <w:style w:type="character" w:customStyle="1" w:styleId="90">
    <w:name w:val="引用 字符"/>
    <w:link w:val="89"/>
    <w:qFormat/>
    <w:uiPriority w:val="29"/>
    <w:rPr>
      <w:i/>
    </w:rPr>
  </w:style>
  <w:style w:type="paragraph" w:styleId="91">
    <w:name w:val="Intense Quote"/>
    <w:basedOn w:val="1"/>
    <w:next w:val="1"/>
    <w:link w:val="9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92">
    <w:name w:val="明显引用 字符"/>
    <w:link w:val="91"/>
    <w:qFormat/>
    <w:uiPriority w:val="30"/>
    <w:rPr>
      <w:i/>
    </w:rPr>
  </w:style>
  <w:style w:type="character" w:customStyle="1" w:styleId="93">
    <w:name w:val="页眉 字符"/>
    <w:link w:val="20"/>
    <w:qFormat/>
    <w:uiPriority w:val="99"/>
  </w:style>
  <w:style w:type="character" w:customStyle="1" w:styleId="94">
    <w:name w:val="Footer Char"/>
    <w:qFormat/>
    <w:uiPriority w:val="99"/>
  </w:style>
  <w:style w:type="character" w:customStyle="1" w:styleId="95">
    <w:name w:val="页脚 字符"/>
    <w:link w:val="19"/>
    <w:qFormat/>
    <w:uiPriority w:val="99"/>
  </w:style>
  <w:style w:type="table" w:customStyle="1" w:styleId="96">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97">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8">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9">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00">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01">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02">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03">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4">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5">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6">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7">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8">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9">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0">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1">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2">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3">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4">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5">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6">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7">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8">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9">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0">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1">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2">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3">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4">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5">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6">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7">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8">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9">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30">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1">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2">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3">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36">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0">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1">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2">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3">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4">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5">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6">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7">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8">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9">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0">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1">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2">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3">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4">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5">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6">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7">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8">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9">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0">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1">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2">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3">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4">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5">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6">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7">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8">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9">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0">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1">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2">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3">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4">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5">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2">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3">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4">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5">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6">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7">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8">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6">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97">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8">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9">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0">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1">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2">
    <w:name w:val="脚注文本 字符"/>
    <w:link w:val="24"/>
    <w:qFormat/>
    <w:uiPriority w:val="99"/>
    <w:rPr>
      <w:sz w:val="18"/>
    </w:rPr>
  </w:style>
  <w:style w:type="character" w:customStyle="1" w:styleId="203">
    <w:name w:val="尾注文本 字符"/>
    <w:link w:val="17"/>
    <w:qFormat/>
    <w:uiPriority w:val="99"/>
    <w:rPr>
      <w:sz w:val="20"/>
    </w:rPr>
  </w:style>
  <w:style w:type="paragraph" w:customStyle="1" w:styleId="204">
    <w:name w:val="TOC 标题11"/>
    <w:unhideWhenUsed/>
    <w:qFormat/>
    <w:uiPriority w:val="39"/>
    <w:rPr>
      <w:rFonts w:ascii="Times New Roman" w:hAnsi="Times New Roman" w:eastAsia="宋体" w:cs="Times New Roman"/>
      <w:lang w:val="en-US" w:eastAsia="zh-CN" w:bidi="ar-SA"/>
    </w:rPr>
  </w:style>
  <w:style w:type="paragraph" w:customStyle="1" w:styleId="205">
    <w:name w:val="标题 11"/>
    <w:basedOn w:val="1"/>
    <w:next w:val="1"/>
    <w:link w:val="218"/>
    <w:qFormat/>
    <w:uiPriority w:val="0"/>
    <w:pPr>
      <w:keepNext/>
      <w:keepLines/>
      <w:spacing w:before="340" w:after="330" w:line="578" w:lineRule="auto"/>
      <w:outlineLvl w:val="0"/>
    </w:pPr>
    <w:rPr>
      <w:b/>
      <w:bCs/>
      <w:sz w:val="44"/>
      <w:szCs w:val="44"/>
    </w:rPr>
  </w:style>
  <w:style w:type="paragraph" w:customStyle="1" w:styleId="206">
    <w:name w:val="标题 21"/>
    <w:basedOn w:val="1"/>
    <w:next w:val="1"/>
    <w:link w:val="219"/>
    <w:qFormat/>
    <w:uiPriority w:val="0"/>
    <w:pPr>
      <w:keepNext/>
      <w:keepLines/>
      <w:spacing w:before="260" w:after="260" w:line="416" w:lineRule="auto"/>
      <w:outlineLvl w:val="1"/>
    </w:pPr>
    <w:rPr>
      <w:rFonts w:ascii="Arial" w:hAnsi="Arial" w:eastAsia="黑体"/>
      <w:b/>
      <w:bCs/>
      <w:sz w:val="32"/>
      <w:szCs w:val="32"/>
    </w:rPr>
  </w:style>
  <w:style w:type="paragraph" w:customStyle="1" w:styleId="207">
    <w:name w:val="标题 31"/>
    <w:basedOn w:val="1"/>
    <w:next w:val="1"/>
    <w:link w:val="220"/>
    <w:qFormat/>
    <w:uiPriority w:val="0"/>
    <w:pPr>
      <w:keepNext/>
      <w:keepLines/>
      <w:spacing w:before="260" w:after="260" w:line="416" w:lineRule="auto"/>
      <w:outlineLvl w:val="2"/>
    </w:pPr>
    <w:rPr>
      <w:b/>
      <w:bCs/>
      <w:sz w:val="32"/>
      <w:szCs w:val="32"/>
    </w:rPr>
  </w:style>
  <w:style w:type="paragraph" w:customStyle="1" w:styleId="208">
    <w:name w:val="标题 411"/>
    <w:basedOn w:val="1"/>
    <w:next w:val="1"/>
    <w:link w:val="221"/>
    <w:qFormat/>
    <w:uiPriority w:val="0"/>
    <w:pPr>
      <w:keepNext/>
      <w:jc w:val="center"/>
      <w:outlineLvl w:val="3"/>
    </w:pPr>
    <w:rPr>
      <w:rFonts w:eastAsia="新宋体"/>
      <w:sz w:val="30"/>
      <w:szCs w:val="21"/>
    </w:rPr>
  </w:style>
  <w:style w:type="paragraph" w:customStyle="1" w:styleId="209">
    <w:name w:val="标题 51"/>
    <w:basedOn w:val="1"/>
    <w:next w:val="1"/>
    <w:link w:val="222"/>
    <w:qFormat/>
    <w:uiPriority w:val="0"/>
    <w:pPr>
      <w:keepNext/>
      <w:keepLines/>
      <w:spacing w:before="280" w:after="290" w:line="376" w:lineRule="auto"/>
      <w:outlineLvl w:val="4"/>
    </w:pPr>
    <w:rPr>
      <w:b/>
      <w:bCs/>
      <w:sz w:val="28"/>
      <w:szCs w:val="28"/>
    </w:rPr>
  </w:style>
  <w:style w:type="paragraph" w:customStyle="1" w:styleId="210">
    <w:name w:val="标题 61"/>
    <w:basedOn w:val="1"/>
    <w:next w:val="211"/>
    <w:link w:val="223"/>
    <w:qFormat/>
    <w:uiPriority w:val="0"/>
    <w:pPr>
      <w:keepNext/>
      <w:jc w:val="center"/>
      <w:outlineLvl w:val="5"/>
    </w:pPr>
    <w:rPr>
      <w:b/>
      <w:sz w:val="44"/>
      <w:szCs w:val="20"/>
    </w:rPr>
  </w:style>
  <w:style w:type="paragraph" w:customStyle="1" w:styleId="211">
    <w:name w:val="正文缩进11"/>
    <w:basedOn w:val="1"/>
    <w:next w:val="212"/>
    <w:link w:val="224"/>
    <w:qFormat/>
    <w:uiPriority w:val="0"/>
    <w:pPr>
      <w:ind w:firstLine="420"/>
    </w:pPr>
    <w:rPr>
      <w:sz w:val="20"/>
      <w:szCs w:val="20"/>
    </w:rPr>
  </w:style>
  <w:style w:type="paragraph" w:customStyle="1" w:styleId="212">
    <w:name w:val="纯文本1"/>
    <w:basedOn w:val="1"/>
    <w:link w:val="225"/>
    <w:qFormat/>
    <w:uiPriority w:val="0"/>
    <w:rPr>
      <w:rFonts w:ascii="宋体" w:hAnsi="Courier New"/>
      <w:sz w:val="20"/>
      <w:szCs w:val="21"/>
    </w:rPr>
  </w:style>
  <w:style w:type="paragraph" w:customStyle="1" w:styleId="213">
    <w:name w:val="标题 71"/>
    <w:basedOn w:val="1"/>
    <w:next w:val="1"/>
    <w:link w:val="226"/>
    <w:qFormat/>
    <w:uiPriority w:val="0"/>
    <w:pPr>
      <w:keepNext/>
      <w:keepLines/>
      <w:spacing w:before="240" w:after="64" w:line="320" w:lineRule="auto"/>
      <w:outlineLvl w:val="6"/>
    </w:pPr>
    <w:rPr>
      <w:b/>
      <w:bCs/>
      <w:sz w:val="24"/>
    </w:rPr>
  </w:style>
  <w:style w:type="paragraph" w:customStyle="1" w:styleId="214">
    <w:name w:val="标题 81"/>
    <w:basedOn w:val="1"/>
    <w:next w:val="1"/>
    <w:link w:val="227"/>
    <w:qFormat/>
    <w:uiPriority w:val="0"/>
    <w:pPr>
      <w:keepNext/>
      <w:keepLines/>
      <w:spacing w:before="240" w:after="64" w:line="320" w:lineRule="auto"/>
      <w:outlineLvl w:val="7"/>
    </w:pPr>
    <w:rPr>
      <w:rFonts w:ascii="Arial" w:hAnsi="Arial" w:eastAsia="黑体"/>
      <w:sz w:val="24"/>
    </w:rPr>
  </w:style>
  <w:style w:type="paragraph" w:customStyle="1" w:styleId="215">
    <w:name w:val="标题 91"/>
    <w:basedOn w:val="1"/>
    <w:next w:val="1"/>
    <w:link w:val="228"/>
    <w:qFormat/>
    <w:uiPriority w:val="0"/>
    <w:pPr>
      <w:keepNext/>
      <w:keepLines/>
      <w:spacing w:before="240" w:after="64" w:line="320" w:lineRule="auto"/>
      <w:outlineLvl w:val="8"/>
    </w:pPr>
    <w:rPr>
      <w:rFonts w:ascii="Arial" w:hAnsi="Arial" w:eastAsia="黑体"/>
      <w:sz w:val="24"/>
      <w:szCs w:val="21"/>
    </w:rPr>
  </w:style>
  <w:style w:type="character" w:customStyle="1" w:styleId="216">
    <w:name w:val="默认段落字体1"/>
    <w:unhideWhenUsed/>
    <w:qFormat/>
    <w:uiPriority w:val="1"/>
  </w:style>
  <w:style w:type="table" w:customStyle="1" w:styleId="217">
    <w:name w:val="普通表格1"/>
    <w:unhideWhenUsed/>
    <w:qFormat/>
    <w:uiPriority w:val="99"/>
    <w:tblPr>
      <w:tblCellMar>
        <w:top w:w="0" w:type="dxa"/>
        <w:left w:w="0" w:type="dxa"/>
        <w:bottom w:w="0" w:type="dxa"/>
        <w:right w:w="0" w:type="dxa"/>
      </w:tblCellMar>
    </w:tblPr>
  </w:style>
  <w:style w:type="character" w:customStyle="1" w:styleId="218">
    <w:name w:val="标题 1 Char"/>
    <w:link w:val="205"/>
    <w:qFormat/>
    <w:uiPriority w:val="0"/>
    <w:rPr>
      <w:rFonts w:ascii="Times New Roman" w:hAnsi="Times New Roman" w:eastAsia="宋体" w:cs="Times New Roman"/>
      <w:b/>
      <w:bCs/>
      <w:sz w:val="44"/>
      <w:szCs w:val="44"/>
    </w:rPr>
  </w:style>
  <w:style w:type="character" w:customStyle="1" w:styleId="219">
    <w:name w:val="标题 2 Char"/>
    <w:link w:val="206"/>
    <w:qFormat/>
    <w:uiPriority w:val="0"/>
    <w:rPr>
      <w:rFonts w:ascii="Arial" w:hAnsi="Arial" w:eastAsia="黑体" w:cs="Times New Roman"/>
      <w:b/>
      <w:bCs/>
      <w:sz w:val="32"/>
      <w:szCs w:val="32"/>
    </w:rPr>
  </w:style>
  <w:style w:type="character" w:customStyle="1" w:styleId="220">
    <w:name w:val="标题 3 Char"/>
    <w:link w:val="207"/>
    <w:qFormat/>
    <w:uiPriority w:val="0"/>
    <w:rPr>
      <w:rFonts w:ascii="Times New Roman" w:hAnsi="Times New Roman" w:eastAsia="宋体" w:cs="Times New Roman"/>
      <w:b/>
      <w:bCs/>
      <w:sz w:val="32"/>
      <w:szCs w:val="32"/>
    </w:rPr>
  </w:style>
  <w:style w:type="character" w:customStyle="1" w:styleId="221">
    <w:name w:val="标题 4 Char"/>
    <w:link w:val="208"/>
    <w:qFormat/>
    <w:uiPriority w:val="0"/>
    <w:rPr>
      <w:rFonts w:ascii="Times New Roman" w:hAnsi="Times New Roman" w:eastAsia="新宋体" w:cs="Times New Roman"/>
      <w:sz w:val="30"/>
      <w:szCs w:val="21"/>
    </w:rPr>
  </w:style>
  <w:style w:type="character" w:customStyle="1" w:styleId="222">
    <w:name w:val="标题 5 Char"/>
    <w:link w:val="209"/>
    <w:qFormat/>
    <w:uiPriority w:val="0"/>
    <w:rPr>
      <w:rFonts w:ascii="Times New Roman" w:hAnsi="Times New Roman" w:eastAsia="宋体" w:cs="Times New Roman"/>
      <w:b/>
      <w:bCs/>
      <w:sz w:val="28"/>
      <w:szCs w:val="28"/>
    </w:rPr>
  </w:style>
  <w:style w:type="character" w:customStyle="1" w:styleId="223">
    <w:name w:val="标题 6 Char"/>
    <w:link w:val="210"/>
    <w:qFormat/>
    <w:uiPriority w:val="0"/>
    <w:rPr>
      <w:rFonts w:ascii="Times New Roman" w:hAnsi="Times New Roman" w:eastAsia="宋体" w:cs="Times New Roman"/>
      <w:b/>
      <w:sz w:val="44"/>
      <w:szCs w:val="20"/>
    </w:rPr>
  </w:style>
  <w:style w:type="character" w:customStyle="1" w:styleId="224">
    <w:name w:val="正文缩进 Char"/>
    <w:link w:val="211"/>
    <w:qFormat/>
    <w:uiPriority w:val="0"/>
    <w:rPr>
      <w:rFonts w:ascii="Times New Roman" w:hAnsi="Times New Roman" w:eastAsia="宋体" w:cs="Times New Roman"/>
      <w:sz w:val="20"/>
      <w:szCs w:val="20"/>
    </w:rPr>
  </w:style>
  <w:style w:type="character" w:customStyle="1" w:styleId="225">
    <w:name w:val="纯文本 Char"/>
    <w:link w:val="212"/>
    <w:qFormat/>
    <w:uiPriority w:val="0"/>
    <w:rPr>
      <w:rFonts w:ascii="宋体" w:hAnsi="Courier New" w:eastAsia="宋体" w:cs="Courier New"/>
      <w:szCs w:val="21"/>
    </w:rPr>
  </w:style>
  <w:style w:type="character" w:customStyle="1" w:styleId="226">
    <w:name w:val="标题 7 Char"/>
    <w:link w:val="213"/>
    <w:qFormat/>
    <w:uiPriority w:val="0"/>
    <w:rPr>
      <w:rFonts w:ascii="Times New Roman" w:hAnsi="Times New Roman" w:eastAsia="宋体" w:cs="Times New Roman"/>
      <w:b/>
      <w:bCs/>
      <w:sz w:val="24"/>
      <w:szCs w:val="24"/>
    </w:rPr>
  </w:style>
  <w:style w:type="character" w:customStyle="1" w:styleId="227">
    <w:name w:val="标题 8 Char"/>
    <w:link w:val="214"/>
    <w:qFormat/>
    <w:uiPriority w:val="0"/>
    <w:rPr>
      <w:rFonts w:ascii="Arial" w:hAnsi="Arial" w:eastAsia="黑体" w:cs="Times New Roman"/>
      <w:sz w:val="24"/>
      <w:szCs w:val="24"/>
    </w:rPr>
  </w:style>
  <w:style w:type="character" w:customStyle="1" w:styleId="228">
    <w:name w:val="标题 9 Char"/>
    <w:link w:val="215"/>
    <w:qFormat/>
    <w:uiPriority w:val="0"/>
    <w:rPr>
      <w:rFonts w:ascii="Arial" w:hAnsi="Arial" w:eastAsia="黑体" w:cs="Times New Roman"/>
      <w:sz w:val="24"/>
      <w:szCs w:val="21"/>
    </w:rPr>
  </w:style>
  <w:style w:type="paragraph" w:customStyle="1" w:styleId="229">
    <w:name w:val="注释标题1"/>
    <w:basedOn w:val="1"/>
    <w:next w:val="1"/>
    <w:qFormat/>
    <w:uiPriority w:val="0"/>
    <w:rPr>
      <w:rFonts w:ascii="Verdana" w:hAnsi="Verdana"/>
      <w:szCs w:val="20"/>
    </w:rPr>
  </w:style>
  <w:style w:type="paragraph" w:customStyle="1" w:styleId="230">
    <w:name w:val="文档结构图1"/>
    <w:basedOn w:val="1"/>
    <w:link w:val="231"/>
    <w:semiHidden/>
    <w:qFormat/>
    <w:uiPriority w:val="0"/>
    <w:pPr>
      <w:shd w:val="clear" w:color="auto" w:fill="000080"/>
    </w:pPr>
    <w:rPr>
      <w:sz w:val="20"/>
    </w:rPr>
  </w:style>
  <w:style w:type="character" w:customStyle="1" w:styleId="231">
    <w:name w:val="文档结构图 Char"/>
    <w:link w:val="230"/>
    <w:semiHidden/>
    <w:qFormat/>
    <w:uiPriority w:val="0"/>
    <w:rPr>
      <w:szCs w:val="24"/>
      <w:shd w:val="clear" w:color="auto" w:fill="000080"/>
    </w:rPr>
  </w:style>
  <w:style w:type="paragraph" w:customStyle="1" w:styleId="232">
    <w:name w:val="引文目录标题1"/>
    <w:basedOn w:val="1"/>
    <w:next w:val="1"/>
    <w:qFormat/>
    <w:uiPriority w:val="0"/>
    <w:pPr>
      <w:spacing w:line="360" w:lineRule="atLeast"/>
      <w:jc w:val="center"/>
    </w:pPr>
    <w:rPr>
      <w:rFonts w:ascii="Arial" w:hAnsi="Arial" w:eastAsia="黑体"/>
      <w:sz w:val="36"/>
      <w:szCs w:val="20"/>
    </w:rPr>
  </w:style>
  <w:style w:type="paragraph" w:customStyle="1" w:styleId="233">
    <w:name w:val="批注文字1"/>
    <w:basedOn w:val="1"/>
    <w:unhideWhenUsed/>
    <w:qFormat/>
    <w:uiPriority w:val="99"/>
    <w:pPr>
      <w:jc w:val="left"/>
    </w:pPr>
  </w:style>
  <w:style w:type="paragraph" w:customStyle="1" w:styleId="234">
    <w:name w:val="正文文本 31"/>
    <w:basedOn w:val="1"/>
    <w:link w:val="235"/>
    <w:qFormat/>
    <w:uiPriority w:val="0"/>
    <w:pPr>
      <w:spacing w:after="120"/>
    </w:pPr>
    <w:rPr>
      <w:sz w:val="16"/>
      <w:szCs w:val="16"/>
    </w:rPr>
  </w:style>
  <w:style w:type="character" w:customStyle="1" w:styleId="235">
    <w:name w:val="正文文本 3 Char"/>
    <w:link w:val="234"/>
    <w:qFormat/>
    <w:uiPriority w:val="0"/>
    <w:rPr>
      <w:rFonts w:ascii="Times New Roman" w:hAnsi="Times New Roman" w:eastAsia="宋体" w:cs="Times New Roman"/>
      <w:sz w:val="16"/>
      <w:szCs w:val="16"/>
    </w:rPr>
  </w:style>
  <w:style w:type="paragraph" w:customStyle="1" w:styleId="236">
    <w:name w:val="正文文本11"/>
    <w:basedOn w:val="1"/>
    <w:next w:val="1"/>
    <w:link w:val="237"/>
    <w:qFormat/>
    <w:uiPriority w:val="0"/>
    <w:rPr>
      <w:rFonts w:ascii="仿宋_GB2312" w:eastAsia="仿宋_GB2312"/>
      <w:sz w:val="24"/>
      <w:szCs w:val="20"/>
    </w:rPr>
  </w:style>
  <w:style w:type="character" w:customStyle="1" w:styleId="237">
    <w:name w:val="正文文本 Char"/>
    <w:link w:val="236"/>
    <w:qFormat/>
    <w:uiPriority w:val="0"/>
    <w:rPr>
      <w:rFonts w:ascii="仿宋_GB2312" w:hAnsi="Times New Roman" w:eastAsia="仿宋_GB2312" w:cs="Times New Roman"/>
      <w:sz w:val="24"/>
      <w:szCs w:val="20"/>
    </w:rPr>
  </w:style>
  <w:style w:type="paragraph" w:customStyle="1" w:styleId="238">
    <w:name w:val="正文文本缩进1"/>
    <w:basedOn w:val="1"/>
    <w:next w:val="239"/>
    <w:link w:val="240"/>
    <w:qFormat/>
    <w:uiPriority w:val="0"/>
    <w:pPr>
      <w:ind w:left="765"/>
    </w:pPr>
    <w:rPr>
      <w:rFonts w:ascii="仿宋_GB2312" w:eastAsia="仿宋_GB2312"/>
      <w:sz w:val="28"/>
      <w:szCs w:val="20"/>
    </w:rPr>
  </w:style>
  <w:style w:type="paragraph" w:customStyle="1" w:styleId="239">
    <w:name w:val="寄信人地址1"/>
    <w:basedOn w:val="1"/>
    <w:unhideWhenUsed/>
    <w:qFormat/>
    <w:uiPriority w:val="99"/>
    <w:rPr>
      <w:rFonts w:ascii="Arial" w:hAnsi="Arial"/>
    </w:rPr>
  </w:style>
  <w:style w:type="character" w:customStyle="1" w:styleId="240">
    <w:name w:val="正文文本缩进 Char"/>
    <w:link w:val="238"/>
    <w:qFormat/>
    <w:uiPriority w:val="0"/>
    <w:rPr>
      <w:rFonts w:ascii="仿宋_GB2312" w:hAnsi="Times New Roman" w:eastAsia="仿宋_GB2312" w:cs="Times New Roman"/>
      <w:sz w:val="28"/>
      <w:szCs w:val="20"/>
    </w:rPr>
  </w:style>
  <w:style w:type="paragraph" w:customStyle="1" w:styleId="241">
    <w:name w:val="文本块1"/>
    <w:basedOn w:val="1"/>
    <w:next w:val="236"/>
    <w:qFormat/>
    <w:uiPriority w:val="0"/>
    <w:pPr>
      <w:spacing w:line="360" w:lineRule="auto"/>
      <w:ind w:right="210" w:firstLine="560"/>
    </w:pPr>
    <w:rPr>
      <w:rFonts w:ascii="宋体" w:hAnsi="宋体"/>
      <w:color w:val="000000"/>
      <w:spacing w:val="20"/>
      <w:sz w:val="24"/>
      <w:szCs w:val="18"/>
    </w:rPr>
  </w:style>
  <w:style w:type="paragraph" w:customStyle="1" w:styleId="242">
    <w:name w:val="日期1"/>
    <w:basedOn w:val="1"/>
    <w:next w:val="1"/>
    <w:link w:val="243"/>
    <w:qFormat/>
    <w:uiPriority w:val="0"/>
    <w:rPr>
      <w:sz w:val="24"/>
      <w:szCs w:val="20"/>
    </w:rPr>
  </w:style>
  <w:style w:type="character" w:customStyle="1" w:styleId="243">
    <w:name w:val="日期 Char"/>
    <w:link w:val="242"/>
    <w:qFormat/>
    <w:uiPriority w:val="0"/>
    <w:rPr>
      <w:rFonts w:ascii="Times New Roman" w:hAnsi="Times New Roman" w:eastAsia="宋体" w:cs="Times New Roman"/>
      <w:sz w:val="24"/>
      <w:szCs w:val="20"/>
    </w:rPr>
  </w:style>
  <w:style w:type="paragraph" w:customStyle="1" w:styleId="244">
    <w:name w:val="正文文本缩进 21"/>
    <w:basedOn w:val="1"/>
    <w:link w:val="245"/>
    <w:qFormat/>
    <w:uiPriority w:val="0"/>
    <w:pPr>
      <w:spacing w:line="500" w:lineRule="exact"/>
      <w:ind w:firstLine="560"/>
    </w:pPr>
    <w:rPr>
      <w:rFonts w:eastAsia="仿宋_GB2312"/>
      <w:sz w:val="28"/>
      <w:szCs w:val="20"/>
    </w:rPr>
  </w:style>
  <w:style w:type="character" w:customStyle="1" w:styleId="245">
    <w:name w:val="正文文本缩进 2 Char"/>
    <w:link w:val="244"/>
    <w:qFormat/>
    <w:uiPriority w:val="0"/>
    <w:rPr>
      <w:rFonts w:ascii="Times New Roman" w:hAnsi="Times New Roman" w:eastAsia="仿宋_GB2312" w:cs="Times New Roman"/>
      <w:sz w:val="28"/>
      <w:szCs w:val="20"/>
    </w:rPr>
  </w:style>
  <w:style w:type="paragraph" w:customStyle="1" w:styleId="246">
    <w:name w:val="批注框文本1"/>
    <w:basedOn w:val="1"/>
    <w:link w:val="247"/>
    <w:semiHidden/>
    <w:qFormat/>
    <w:uiPriority w:val="0"/>
    <w:rPr>
      <w:sz w:val="18"/>
      <w:szCs w:val="18"/>
    </w:rPr>
  </w:style>
  <w:style w:type="character" w:customStyle="1" w:styleId="247">
    <w:name w:val="批注框文本 Char"/>
    <w:link w:val="246"/>
    <w:semiHidden/>
    <w:qFormat/>
    <w:uiPriority w:val="0"/>
    <w:rPr>
      <w:sz w:val="18"/>
      <w:szCs w:val="18"/>
    </w:rPr>
  </w:style>
  <w:style w:type="paragraph" w:customStyle="1" w:styleId="248">
    <w:name w:val="页脚1"/>
    <w:basedOn w:val="1"/>
    <w:link w:val="249"/>
    <w:qFormat/>
    <w:uiPriority w:val="99"/>
    <w:pPr>
      <w:tabs>
        <w:tab w:val="center" w:pos="4153"/>
        <w:tab w:val="right" w:pos="8306"/>
      </w:tabs>
      <w:jc w:val="left"/>
    </w:pPr>
    <w:rPr>
      <w:sz w:val="18"/>
      <w:szCs w:val="20"/>
    </w:rPr>
  </w:style>
  <w:style w:type="character" w:customStyle="1" w:styleId="249">
    <w:name w:val="页脚 Char"/>
    <w:link w:val="248"/>
    <w:qFormat/>
    <w:uiPriority w:val="99"/>
    <w:rPr>
      <w:rFonts w:ascii="Times New Roman" w:hAnsi="Times New Roman" w:eastAsia="宋体" w:cs="Times New Roman"/>
      <w:sz w:val="18"/>
      <w:szCs w:val="20"/>
    </w:rPr>
  </w:style>
  <w:style w:type="paragraph" w:customStyle="1" w:styleId="250">
    <w:name w:val="页眉1"/>
    <w:basedOn w:val="1"/>
    <w:link w:val="251"/>
    <w:qFormat/>
    <w:uiPriority w:val="0"/>
    <w:pPr>
      <w:pBdr>
        <w:bottom w:val="single" w:color="000000" w:sz="6" w:space="1"/>
      </w:pBdr>
      <w:tabs>
        <w:tab w:val="center" w:pos="4153"/>
        <w:tab w:val="right" w:pos="8306"/>
      </w:tabs>
      <w:jc w:val="center"/>
    </w:pPr>
    <w:rPr>
      <w:sz w:val="18"/>
      <w:szCs w:val="18"/>
    </w:rPr>
  </w:style>
  <w:style w:type="character" w:customStyle="1" w:styleId="251">
    <w:name w:val="页眉 Char"/>
    <w:link w:val="250"/>
    <w:qFormat/>
    <w:uiPriority w:val="0"/>
    <w:rPr>
      <w:rFonts w:ascii="Times New Roman" w:hAnsi="Times New Roman" w:eastAsia="宋体" w:cs="Times New Roman"/>
      <w:sz w:val="18"/>
      <w:szCs w:val="18"/>
    </w:rPr>
  </w:style>
  <w:style w:type="paragraph" w:customStyle="1" w:styleId="252">
    <w:name w:val="目录 11"/>
    <w:basedOn w:val="1"/>
    <w:next w:val="1"/>
    <w:semiHidden/>
    <w:qFormat/>
    <w:uiPriority w:val="0"/>
    <w:rPr>
      <w:sz w:val="24"/>
    </w:rPr>
  </w:style>
  <w:style w:type="paragraph" w:customStyle="1" w:styleId="253">
    <w:name w:val="列表1"/>
    <w:basedOn w:val="1"/>
    <w:qFormat/>
    <w:uiPriority w:val="0"/>
    <w:pPr>
      <w:ind w:left="200" w:hanging="200"/>
    </w:pPr>
  </w:style>
  <w:style w:type="paragraph" w:customStyle="1" w:styleId="254">
    <w:name w:val="正文文本缩进 31"/>
    <w:basedOn w:val="1"/>
    <w:next w:val="232"/>
    <w:link w:val="255"/>
    <w:qFormat/>
    <w:uiPriority w:val="0"/>
    <w:pPr>
      <w:spacing w:after="120"/>
      <w:ind w:left="420"/>
    </w:pPr>
    <w:rPr>
      <w:sz w:val="16"/>
      <w:szCs w:val="16"/>
    </w:rPr>
  </w:style>
  <w:style w:type="character" w:customStyle="1" w:styleId="255">
    <w:name w:val="正文文本缩进 3 Char"/>
    <w:link w:val="254"/>
    <w:qFormat/>
    <w:uiPriority w:val="0"/>
    <w:rPr>
      <w:rFonts w:ascii="Times New Roman" w:hAnsi="Times New Roman" w:eastAsia="宋体" w:cs="Times New Roman"/>
      <w:sz w:val="16"/>
      <w:szCs w:val="16"/>
    </w:rPr>
  </w:style>
  <w:style w:type="paragraph" w:customStyle="1" w:styleId="256">
    <w:name w:val="正文文本 21"/>
    <w:basedOn w:val="1"/>
    <w:link w:val="257"/>
    <w:qFormat/>
    <w:uiPriority w:val="0"/>
    <w:rPr>
      <w:b/>
      <w:bCs/>
      <w:sz w:val="18"/>
    </w:rPr>
  </w:style>
  <w:style w:type="character" w:customStyle="1" w:styleId="257">
    <w:name w:val="正文文本 2 Char"/>
    <w:link w:val="256"/>
    <w:qFormat/>
    <w:uiPriority w:val="0"/>
    <w:rPr>
      <w:rFonts w:ascii="Times New Roman" w:hAnsi="Times New Roman" w:eastAsia="宋体" w:cs="Times New Roman"/>
      <w:b/>
      <w:bCs/>
      <w:sz w:val="18"/>
      <w:szCs w:val="24"/>
    </w:rPr>
  </w:style>
  <w:style w:type="paragraph" w:customStyle="1" w:styleId="258">
    <w:name w:val="普通(网站)1"/>
    <w:basedOn w:val="1"/>
    <w:qFormat/>
    <w:uiPriority w:val="0"/>
    <w:pPr>
      <w:widowControl/>
      <w:spacing w:before="100" w:beforeAutospacing="1" w:after="100" w:afterAutospacing="1"/>
      <w:jc w:val="left"/>
    </w:pPr>
    <w:rPr>
      <w:rFonts w:ascii="宋体" w:hAnsi="宋体"/>
      <w:color w:val="000000"/>
      <w:sz w:val="24"/>
    </w:rPr>
  </w:style>
  <w:style w:type="paragraph" w:customStyle="1" w:styleId="259">
    <w:name w:val="正文首行缩进11"/>
    <w:basedOn w:val="236"/>
    <w:link w:val="260"/>
    <w:qFormat/>
    <w:uiPriority w:val="0"/>
    <w:pPr>
      <w:spacing w:after="120"/>
      <w:ind w:firstLine="420"/>
    </w:pPr>
    <w:rPr>
      <w:rFonts w:ascii="Times New Roman" w:eastAsia="宋体"/>
      <w:szCs w:val="24"/>
    </w:rPr>
  </w:style>
  <w:style w:type="character" w:customStyle="1" w:styleId="260">
    <w:name w:val="正文首行缩进 Char"/>
    <w:link w:val="259"/>
    <w:qFormat/>
    <w:uiPriority w:val="0"/>
    <w:rPr>
      <w:rFonts w:ascii="Times New Roman" w:hAnsi="Times New Roman" w:eastAsia="宋体" w:cs="Times New Roman"/>
      <w:sz w:val="24"/>
      <w:szCs w:val="24"/>
    </w:rPr>
  </w:style>
  <w:style w:type="paragraph" w:customStyle="1" w:styleId="261">
    <w:name w:val="正文首行缩进 21"/>
    <w:basedOn w:val="238"/>
    <w:next w:val="254"/>
    <w:unhideWhenUsed/>
    <w:qFormat/>
    <w:uiPriority w:val="99"/>
    <w:pPr>
      <w:ind w:firstLine="200"/>
    </w:pPr>
  </w:style>
  <w:style w:type="table" w:customStyle="1" w:styleId="262">
    <w:name w:val="网格型11"/>
    <w:basedOn w:val="217"/>
    <w:qFormat/>
    <w:uiPriority w:val="59"/>
  </w:style>
  <w:style w:type="character" w:customStyle="1" w:styleId="263">
    <w:name w:val="要点1"/>
    <w:qFormat/>
    <w:uiPriority w:val="0"/>
    <w:rPr>
      <w:b/>
      <w:bCs/>
    </w:rPr>
  </w:style>
  <w:style w:type="character" w:customStyle="1" w:styleId="264">
    <w:name w:val="页码1"/>
    <w:qFormat/>
    <w:uiPriority w:val="0"/>
  </w:style>
  <w:style w:type="character" w:customStyle="1" w:styleId="265">
    <w:name w:val="已访问的超链接1"/>
    <w:qFormat/>
    <w:uiPriority w:val="0"/>
    <w:rPr>
      <w:color w:val="800080"/>
      <w:u w:val="single"/>
    </w:rPr>
  </w:style>
  <w:style w:type="character" w:customStyle="1" w:styleId="266">
    <w:name w:val="超链接11"/>
    <w:qFormat/>
    <w:uiPriority w:val="0"/>
    <w:rPr>
      <w:color w:val="0000FF"/>
      <w:u w:val="single"/>
    </w:rPr>
  </w:style>
  <w:style w:type="paragraph" w:customStyle="1" w:styleId="267">
    <w:name w:val="标题 41"/>
    <w:basedOn w:val="1"/>
    <w:next w:val="1"/>
    <w:qFormat/>
    <w:uiPriority w:val="0"/>
    <w:pPr>
      <w:keepNext/>
      <w:jc w:val="center"/>
      <w:outlineLvl w:val="3"/>
    </w:pPr>
    <w:rPr>
      <w:rFonts w:eastAsia="新宋体"/>
      <w:sz w:val="30"/>
      <w:szCs w:val="21"/>
    </w:rPr>
  </w:style>
  <w:style w:type="character" w:customStyle="1" w:styleId="268">
    <w:name w:val="超链接1"/>
    <w:unhideWhenUsed/>
    <w:qFormat/>
    <w:uiPriority w:val="99"/>
    <w:rPr>
      <w:sz w:val="21"/>
      <w:szCs w:val="24"/>
      <w:lang w:val="en-US" w:eastAsia="zh-CN" w:bidi="ar-SA"/>
    </w:rPr>
  </w:style>
  <w:style w:type="paragraph" w:customStyle="1" w:styleId="269">
    <w:name w:val="Default"/>
    <w:basedOn w:val="1"/>
    <w:qFormat/>
    <w:uiPriority w:val="0"/>
    <w:pPr>
      <w:jc w:val="left"/>
    </w:pPr>
    <w:rPr>
      <w:rFonts w:ascii="Arial" w:hAnsi="Arial" w:eastAsia="PMingLiU"/>
      <w:sz w:val="20"/>
      <w:szCs w:val="20"/>
    </w:rPr>
  </w:style>
  <w:style w:type="paragraph" w:customStyle="1" w:styleId="270">
    <w:name w:val="style4"/>
    <w:basedOn w:val="1"/>
    <w:next w:val="271"/>
    <w:qFormat/>
    <w:uiPriority w:val="0"/>
    <w:pPr>
      <w:widowControl/>
      <w:spacing w:before="280" w:after="280"/>
    </w:pPr>
    <w:rPr>
      <w:rFonts w:ascii="宋体"/>
      <w:sz w:val="18"/>
    </w:rPr>
  </w:style>
  <w:style w:type="paragraph" w:customStyle="1" w:styleId="271">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72">
    <w:name w:val="无间隔1"/>
    <w:qFormat/>
    <w:uiPriority w:val="0"/>
    <w:rPr>
      <w:rFonts w:ascii="Times New Roman" w:hAnsi="Times New Roman" w:eastAsia="宋体" w:cs="Calibri"/>
      <w:sz w:val="22"/>
      <w:lang w:val="en-US" w:eastAsia="zh-CN" w:bidi="ar-SA"/>
    </w:rPr>
  </w:style>
  <w:style w:type="paragraph" w:customStyle="1" w:styleId="273">
    <w:name w:val="正文缩进1"/>
    <w:basedOn w:val="1"/>
    <w:qFormat/>
    <w:uiPriority w:val="0"/>
    <w:pPr>
      <w:widowControl/>
      <w:ind w:firstLine="420"/>
      <w:jc w:val="left"/>
    </w:pPr>
  </w:style>
  <w:style w:type="character" w:customStyle="1" w:styleId="274">
    <w:name w:val="列出段落 Char"/>
    <w:link w:val="275"/>
    <w:qFormat/>
    <w:uiPriority w:val="99"/>
  </w:style>
  <w:style w:type="paragraph" w:customStyle="1" w:styleId="275">
    <w:name w:val="列出段落1"/>
    <w:basedOn w:val="1"/>
    <w:link w:val="274"/>
    <w:qFormat/>
    <w:uiPriority w:val="99"/>
    <w:pPr>
      <w:ind w:firstLine="420"/>
    </w:pPr>
    <w:rPr>
      <w:sz w:val="20"/>
      <w:szCs w:val="20"/>
    </w:rPr>
  </w:style>
  <w:style w:type="character" w:customStyle="1" w:styleId="276">
    <w:name w:val="文档结构图 Char1"/>
    <w:semiHidden/>
    <w:qFormat/>
    <w:uiPriority w:val="99"/>
    <w:rPr>
      <w:rFonts w:ascii="宋体" w:hAnsi="Times New Roman" w:eastAsia="宋体" w:cs="Times New Roman"/>
      <w:sz w:val="18"/>
      <w:szCs w:val="18"/>
    </w:rPr>
  </w:style>
  <w:style w:type="character" w:customStyle="1" w:styleId="277">
    <w:name w:val="普通正文 Char"/>
    <w:link w:val="278"/>
    <w:qFormat/>
    <w:uiPriority w:val="0"/>
    <w:rPr>
      <w:rFonts w:ascii="Arial" w:hAnsi="Arial"/>
      <w:sz w:val="24"/>
      <w:szCs w:val="24"/>
    </w:rPr>
  </w:style>
  <w:style w:type="paragraph" w:customStyle="1" w:styleId="278">
    <w:name w:val="普通正文"/>
    <w:basedOn w:val="1"/>
    <w:link w:val="277"/>
    <w:qFormat/>
    <w:uiPriority w:val="0"/>
    <w:pPr>
      <w:spacing w:before="120" w:after="120" w:line="360" w:lineRule="auto"/>
      <w:ind w:left="-2" w:right="120" w:firstLine="480"/>
      <w:jc w:val="center"/>
    </w:pPr>
    <w:rPr>
      <w:rFonts w:ascii="Arial" w:hAnsi="Arial"/>
      <w:sz w:val="24"/>
    </w:rPr>
  </w:style>
  <w:style w:type="character" w:customStyle="1" w:styleId="279">
    <w:name w:val="FA正文 Char"/>
    <w:link w:val="280"/>
    <w:qFormat/>
    <w:uiPriority w:val="0"/>
    <w:rPr>
      <w:rFonts w:ascii="宋体" w:hAnsi="宋体" w:eastAsia="宋体" w:cs="Times New Roman"/>
      <w:sz w:val="28"/>
      <w:szCs w:val="28"/>
    </w:rPr>
  </w:style>
  <w:style w:type="paragraph" w:customStyle="1" w:styleId="280">
    <w:name w:val="FA正文"/>
    <w:basedOn w:val="1"/>
    <w:link w:val="279"/>
    <w:qFormat/>
    <w:uiPriority w:val="0"/>
    <w:pPr>
      <w:tabs>
        <w:tab w:val="left" w:pos="3375"/>
      </w:tabs>
      <w:spacing w:line="440" w:lineRule="atLeast"/>
      <w:ind w:firstLine="538"/>
    </w:pPr>
    <w:rPr>
      <w:rFonts w:ascii="宋体" w:hAnsi="宋体"/>
      <w:sz w:val="28"/>
      <w:szCs w:val="28"/>
    </w:rPr>
  </w:style>
  <w:style w:type="character" w:customStyle="1" w:styleId="281">
    <w:name w:val="正文缩进2格 Char"/>
    <w:link w:val="282"/>
    <w:qFormat/>
    <w:uiPriority w:val="0"/>
    <w:rPr>
      <w:rFonts w:ascii="仿宋_GB2312" w:hAnsi="宋体" w:eastAsia="仿宋_GB2312" w:cs="Times New Roman"/>
      <w:sz w:val="31"/>
      <w:szCs w:val="28"/>
    </w:rPr>
  </w:style>
  <w:style w:type="paragraph" w:customStyle="1" w:styleId="282">
    <w:name w:val="正文缩进2格"/>
    <w:basedOn w:val="1"/>
    <w:link w:val="281"/>
    <w:qFormat/>
    <w:uiPriority w:val="0"/>
    <w:pPr>
      <w:spacing w:line="600" w:lineRule="exact"/>
      <w:ind w:firstLine="639"/>
    </w:pPr>
    <w:rPr>
      <w:rFonts w:ascii="仿宋_GB2312" w:hAnsi="宋体" w:eastAsia="仿宋_GB2312"/>
      <w:sz w:val="31"/>
      <w:szCs w:val="28"/>
    </w:rPr>
  </w:style>
  <w:style w:type="character" w:customStyle="1" w:styleId="283">
    <w:name w:val="cn_text1"/>
    <w:qFormat/>
    <w:uiPriority w:val="0"/>
    <w:rPr>
      <w:rFonts w:ascii="ˎ̥" w:hAnsi="ˎ̥"/>
      <w:color w:val="003399"/>
      <w:spacing w:val="15"/>
      <w:sz w:val="18"/>
      <w:szCs w:val="18"/>
    </w:rPr>
  </w:style>
  <w:style w:type="character" w:customStyle="1" w:styleId="284">
    <w:name w:val="ssss Char"/>
    <w:qFormat/>
    <w:uiPriority w:val="0"/>
    <w:rPr>
      <w:rFonts w:eastAsia="宋体"/>
      <w:sz w:val="24"/>
      <w:szCs w:val="24"/>
      <w:lang w:val="en-US" w:eastAsia="zh-CN" w:bidi="ar-SA"/>
    </w:rPr>
  </w:style>
  <w:style w:type="character" w:customStyle="1" w:styleId="285">
    <w:name w:val="ssss Char1"/>
    <w:link w:val="286"/>
    <w:qFormat/>
    <w:uiPriority w:val="0"/>
    <w:rPr>
      <w:rFonts w:ascii="Times New Roman" w:hAnsi="Times New Roman" w:eastAsia="宋体" w:cs="Times New Roman"/>
      <w:sz w:val="24"/>
      <w:szCs w:val="24"/>
    </w:rPr>
  </w:style>
  <w:style w:type="paragraph" w:customStyle="1" w:styleId="286">
    <w:name w:val="ssss"/>
    <w:basedOn w:val="1"/>
    <w:link w:val="285"/>
    <w:qFormat/>
    <w:uiPriority w:val="0"/>
    <w:pPr>
      <w:spacing w:line="360" w:lineRule="auto"/>
      <w:ind w:firstLine="480"/>
    </w:pPr>
    <w:rPr>
      <w:sz w:val="24"/>
    </w:rPr>
  </w:style>
  <w:style w:type="character" w:customStyle="1" w:styleId="287">
    <w:name w:val="标题 4 Char1"/>
    <w:qFormat/>
    <w:uiPriority w:val="0"/>
    <w:rPr>
      <w:rFonts w:ascii="Arial" w:hAnsi="Arial" w:eastAsia="黑体"/>
      <w:b/>
      <w:bCs/>
      <w:sz w:val="28"/>
      <w:szCs w:val="28"/>
      <w:lang w:val="en-US" w:eastAsia="zh-CN" w:bidi="ar-SA"/>
    </w:rPr>
  </w:style>
  <w:style w:type="character" w:customStyle="1" w:styleId="288">
    <w:name w:val="列表段落 字符"/>
    <w:qFormat/>
    <w:uiPriority w:val="34"/>
    <w:rPr>
      <w:rFonts w:ascii="Calibri" w:hAnsi="Calibri"/>
      <w:sz w:val="21"/>
      <w:szCs w:val="22"/>
    </w:rPr>
  </w:style>
  <w:style w:type="character" w:customStyle="1" w:styleId="289">
    <w:name w:val="批注框文本 Char1"/>
    <w:semiHidden/>
    <w:qFormat/>
    <w:uiPriority w:val="99"/>
    <w:rPr>
      <w:rFonts w:ascii="Times New Roman" w:hAnsi="Times New Roman" w:eastAsia="宋体" w:cs="Times New Roman"/>
      <w:sz w:val="18"/>
      <w:szCs w:val="18"/>
    </w:rPr>
  </w:style>
  <w:style w:type="character" w:customStyle="1" w:styleId="290">
    <w:name w:val="样式 ssss + 宋体 五号1 Char"/>
    <w:link w:val="291"/>
    <w:qFormat/>
    <w:uiPriority w:val="0"/>
    <w:rPr>
      <w:rFonts w:ascii="宋体" w:hAnsi="宋体" w:eastAsia="宋体" w:cs="Times New Roman"/>
      <w:sz w:val="24"/>
      <w:szCs w:val="24"/>
    </w:rPr>
  </w:style>
  <w:style w:type="paragraph" w:customStyle="1" w:styleId="291">
    <w:name w:val="样式 ssss + 宋体 五号1"/>
    <w:basedOn w:val="286"/>
    <w:link w:val="290"/>
    <w:qFormat/>
    <w:uiPriority w:val="0"/>
    <w:rPr>
      <w:rFonts w:ascii="宋体" w:hAnsi="宋体"/>
    </w:rPr>
  </w:style>
  <w:style w:type="character" w:customStyle="1" w:styleId="292">
    <w:name w:val="point_normal1"/>
    <w:qFormat/>
    <w:uiPriority w:val="0"/>
    <w:rPr>
      <w:rFonts w:ascii="Arial" w:hAnsi="Arial" w:cs="Arial"/>
      <w:sz w:val="16"/>
      <w:szCs w:val="16"/>
    </w:rPr>
  </w:style>
  <w:style w:type="paragraph" w:customStyle="1" w:styleId="293">
    <w:name w:val="样式 正文文本缩进 3 + 四号"/>
    <w:basedOn w:val="254"/>
    <w:qFormat/>
    <w:uiPriority w:val="0"/>
    <w:pPr>
      <w:spacing w:after="0" w:line="360" w:lineRule="auto"/>
      <w:ind w:left="0" w:firstLine="437"/>
    </w:pPr>
    <w:rPr>
      <w:sz w:val="24"/>
      <w:szCs w:val="21"/>
    </w:rPr>
  </w:style>
  <w:style w:type="paragraph" w:customStyle="1" w:styleId="294">
    <w:name w:val="2cxsplast"/>
    <w:basedOn w:val="1"/>
    <w:qFormat/>
    <w:uiPriority w:val="0"/>
    <w:pPr>
      <w:widowControl/>
      <w:spacing w:before="100" w:beforeAutospacing="1" w:after="100" w:afterAutospacing="1"/>
      <w:jc w:val="left"/>
    </w:pPr>
    <w:rPr>
      <w:rFonts w:ascii="宋体" w:hAnsi="宋体" w:cs="宋体"/>
      <w:sz w:val="24"/>
    </w:rPr>
  </w:style>
  <w:style w:type="paragraph" w:customStyle="1" w:styleId="295">
    <w:name w:val="ec_msonormal"/>
    <w:basedOn w:val="1"/>
    <w:qFormat/>
    <w:uiPriority w:val="0"/>
    <w:pPr>
      <w:widowControl/>
      <w:spacing w:before="100" w:beforeAutospacing="1" w:after="100" w:afterAutospacing="1"/>
      <w:jc w:val="left"/>
    </w:pPr>
    <w:rPr>
      <w:rFonts w:ascii="宋体" w:hAnsi="宋体"/>
      <w:sz w:val="24"/>
    </w:rPr>
  </w:style>
  <w:style w:type="paragraph" w:customStyle="1" w:styleId="296">
    <w:name w:val="Char Char Char Char"/>
    <w:basedOn w:val="1"/>
    <w:qFormat/>
    <w:uiPriority w:val="0"/>
    <w:rPr>
      <w:rFonts w:ascii="Tahoma" w:hAnsi="Tahoma"/>
      <w:sz w:val="24"/>
      <w:szCs w:val="20"/>
    </w:rPr>
  </w:style>
  <w:style w:type="paragraph" w:customStyle="1" w:styleId="297">
    <w:name w:val="Char Char Char Char Char Char Char Char Char Char Char Char Char"/>
    <w:basedOn w:val="1"/>
    <w:qFormat/>
    <w:uiPriority w:val="0"/>
  </w:style>
  <w:style w:type="paragraph" w:customStyle="1" w:styleId="298">
    <w:name w:val="表格正文"/>
    <w:basedOn w:val="1"/>
    <w:qFormat/>
    <w:uiPriority w:val="0"/>
    <w:pPr>
      <w:spacing w:line="360" w:lineRule="auto"/>
      <w:jc w:val="left"/>
    </w:pPr>
    <w:rPr>
      <w:rFonts w:ascii="Calibri" w:hAnsi="Calibri"/>
      <w:color w:val="000000"/>
      <w:szCs w:val="28"/>
    </w:rPr>
  </w:style>
  <w:style w:type="paragraph" w:customStyle="1" w:styleId="299">
    <w:name w:val="正文1"/>
    <w:qFormat/>
    <w:uiPriority w:val="0"/>
    <w:pPr>
      <w:widowControl w:val="0"/>
      <w:spacing w:line="315" w:lineRule="atLeast"/>
      <w:jc w:val="both"/>
    </w:pPr>
    <w:rPr>
      <w:rFonts w:ascii="宋体" w:hAnsi="Times New Roman" w:eastAsia="宋体" w:cs="Times New Roman"/>
      <w:sz w:val="24"/>
      <w:lang w:val="en-US" w:eastAsia="zh-CN" w:bidi="ar-SA"/>
    </w:rPr>
  </w:style>
  <w:style w:type="paragraph" w:customStyle="1" w:styleId="300">
    <w:name w:val="Char Char Char Char1"/>
    <w:basedOn w:val="1"/>
    <w:qFormat/>
    <w:uiPriority w:val="0"/>
    <w:rPr>
      <w:rFonts w:ascii="Tahoma" w:hAnsi="Tahoma"/>
      <w:sz w:val="24"/>
      <w:szCs w:val="20"/>
    </w:rPr>
  </w:style>
  <w:style w:type="paragraph" w:customStyle="1" w:styleId="301">
    <w:name w:val="Char Char Char"/>
    <w:basedOn w:val="1"/>
    <w:qFormat/>
    <w:uiPriority w:val="0"/>
    <w:rPr>
      <w:rFonts w:ascii="Tahoma" w:hAnsi="Tahoma"/>
      <w:sz w:val="24"/>
      <w:szCs w:val="20"/>
    </w:rPr>
  </w:style>
  <w:style w:type="paragraph" w:customStyle="1" w:styleId="302">
    <w:name w:val="标题-----3"/>
    <w:basedOn w:val="207"/>
    <w:qFormat/>
    <w:uiPriority w:val="0"/>
    <w:pPr>
      <w:spacing w:before="0" w:after="0" w:line="240" w:lineRule="auto"/>
      <w:outlineLvl w:val="0"/>
    </w:pPr>
    <w:rPr>
      <w:rFonts w:ascii="宋体" w:hAnsi="宋体"/>
      <w:b w:val="0"/>
      <w:bCs w:val="0"/>
      <w:sz w:val="28"/>
      <w:szCs w:val="28"/>
    </w:rPr>
  </w:style>
  <w:style w:type="paragraph" w:customStyle="1" w:styleId="303">
    <w:name w:val="样式 ssss + 居中"/>
    <w:basedOn w:val="286"/>
    <w:qFormat/>
    <w:uiPriority w:val="0"/>
    <w:pPr>
      <w:jc w:val="center"/>
    </w:pPr>
    <w:rPr>
      <w:rFonts w:cs="宋体"/>
      <w:szCs w:val="20"/>
    </w:rPr>
  </w:style>
  <w:style w:type="paragraph" w:customStyle="1" w:styleId="304">
    <w:name w:val="样式 宋体 四号 黑色 左侧:  0.74 厘米 首行缩进:  0.74 厘米 行距: 1.5 倍行距"/>
    <w:basedOn w:val="1"/>
    <w:qFormat/>
    <w:uiPriority w:val="0"/>
    <w:pPr>
      <w:spacing w:line="360" w:lineRule="auto"/>
      <w:ind w:firstLine="420"/>
    </w:pPr>
    <w:rPr>
      <w:rFonts w:ascii="宋体"/>
      <w:color w:val="000000"/>
      <w:sz w:val="24"/>
      <w:szCs w:val="21"/>
    </w:rPr>
  </w:style>
  <w:style w:type="paragraph" w:customStyle="1" w:styleId="305">
    <w:name w:val="样式 样式 ssss + 宋体 五号 + 首行缩进:  2 字符"/>
    <w:basedOn w:val="306"/>
    <w:qFormat/>
    <w:uiPriority w:val="0"/>
    <w:pPr>
      <w:ind w:firstLine="480"/>
    </w:pPr>
  </w:style>
  <w:style w:type="paragraph" w:customStyle="1" w:styleId="306">
    <w:name w:val="样式 ssss + 宋体 五号"/>
    <w:basedOn w:val="286"/>
    <w:qFormat/>
    <w:uiPriority w:val="0"/>
    <w:pPr>
      <w:ind w:firstLine="420"/>
    </w:pPr>
    <w:rPr>
      <w:rFonts w:ascii="宋体" w:hAnsi="宋体" w:cs="宋体"/>
      <w:szCs w:val="20"/>
    </w:rPr>
  </w:style>
  <w:style w:type="paragraph" w:customStyle="1" w:styleId="307">
    <w:name w:val="msonormalcxsplast"/>
    <w:basedOn w:val="1"/>
    <w:qFormat/>
    <w:uiPriority w:val="0"/>
    <w:pPr>
      <w:widowControl/>
      <w:spacing w:before="100" w:beforeAutospacing="1" w:after="100" w:afterAutospacing="1"/>
      <w:jc w:val="left"/>
    </w:pPr>
    <w:rPr>
      <w:rFonts w:ascii="宋体" w:hAnsi="宋体" w:cs="宋体"/>
      <w:sz w:val="24"/>
    </w:rPr>
  </w:style>
  <w:style w:type="paragraph" w:customStyle="1" w:styleId="308">
    <w:name w:val="Char"/>
    <w:basedOn w:val="1"/>
    <w:qFormat/>
    <w:uiPriority w:val="0"/>
    <w:rPr>
      <w:rFonts w:ascii="Tahoma" w:hAnsi="Tahoma"/>
      <w:sz w:val="24"/>
      <w:szCs w:val="20"/>
    </w:rPr>
  </w:style>
  <w:style w:type="paragraph" w:customStyle="1" w:styleId="309">
    <w:name w:val="xl25"/>
    <w:basedOn w:val="1"/>
    <w:qFormat/>
    <w:uiPriority w:val="0"/>
    <w:pPr>
      <w:widowControl/>
      <w:pBdr>
        <w:bottom w:val="single" w:color="000000" w:sz="4" w:space="0"/>
        <w:right w:val="single" w:color="000000" w:sz="4" w:space="0"/>
      </w:pBdr>
      <w:spacing w:before="100" w:beforeAutospacing="1" w:after="100" w:afterAutospacing="1"/>
    </w:pPr>
    <w:rPr>
      <w:rFonts w:hint="eastAsia" w:ascii="华文细黑" w:hAnsi="华文细黑" w:eastAsia="华文细黑"/>
      <w:sz w:val="18"/>
      <w:szCs w:val="18"/>
    </w:rPr>
  </w:style>
  <w:style w:type="paragraph" w:customStyle="1" w:styleId="310">
    <w:name w:val="标题------4"/>
    <w:basedOn w:val="208"/>
    <w:qFormat/>
    <w:uiPriority w:val="0"/>
    <w:pPr>
      <w:keepLines/>
      <w:spacing w:line="360" w:lineRule="auto"/>
      <w:ind w:left="960" w:hanging="420"/>
      <w:jc w:val="both"/>
    </w:pPr>
    <w:rPr>
      <w:rFonts w:ascii="仿宋_GB2312" w:hAnsi="宋体" w:eastAsia="仿宋_GB2312" w:cs="仿宋_GB2312"/>
      <w:b/>
      <w:sz w:val="28"/>
      <w:szCs w:val="28"/>
      <w:lang w:val="zh-CN"/>
    </w:rPr>
  </w:style>
  <w:style w:type="paragraph" w:customStyle="1" w:styleId="311">
    <w:name w:val="msonormalcxspmiddle"/>
    <w:basedOn w:val="1"/>
    <w:qFormat/>
    <w:uiPriority w:val="0"/>
    <w:pPr>
      <w:widowControl/>
      <w:spacing w:before="100" w:beforeAutospacing="1" w:after="100" w:afterAutospacing="1"/>
      <w:jc w:val="left"/>
    </w:pPr>
    <w:rPr>
      <w:rFonts w:ascii="宋体" w:hAnsi="宋体" w:cs="宋体"/>
      <w:sz w:val="24"/>
    </w:rPr>
  </w:style>
  <w:style w:type="paragraph" w:customStyle="1" w:styleId="312">
    <w:name w:val="Char Char Char Char Char Char Char Char Char Char Char Char Char1"/>
    <w:basedOn w:val="1"/>
    <w:qFormat/>
    <w:uiPriority w:val="0"/>
    <w:rPr>
      <w:sz w:val="24"/>
    </w:rPr>
  </w:style>
  <w:style w:type="paragraph" w:customStyle="1" w:styleId="313">
    <w:name w:val="表格"/>
    <w:basedOn w:val="1"/>
    <w:qFormat/>
    <w:uiPriority w:val="0"/>
    <w:rPr>
      <w:rFonts w:ascii="Arial" w:hAnsi="Arial"/>
      <w:sz w:val="24"/>
    </w:rPr>
  </w:style>
  <w:style w:type="paragraph" w:customStyle="1" w:styleId="314">
    <w:name w:val="正文样式1"/>
    <w:basedOn w:val="1"/>
    <w:qFormat/>
    <w:uiPriority w:val="0"/>
    <w:pPr>
      <w:spacing w:before="120" w:after="120" w:line="360" w:lineRule="auto"/>
      <w:ind w:firstLine="480"/>
    </w:pPr>
    <w:rPr>
      <w:sz w:val="24"/>
      <w:szCs w:val="20"/>
    </w:rPr>
  </w:style>
  <w:style w:type="paragraph" w:customStyle="1" w:styleId="315">
    <w:name w:val="Char Char1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16">
    <w:name w:val="Char Char Char Char Char Char Char Char Char Char"/>
    <w:basedOn w:val="1"/>
    <w:qFormat/>
    <w:uiPriority w:val="0"/>
    <w:rPr>
      <w:rFonts w:ascii="Tahoma" w:hAnsi="Tahoma"/>
      <w:sz w:val="24"/>
      <w:szCs w:val="20"/>
    </w:rPr>
  </w:style>
  <w:style w:type="paragraph" w:customStyle="1" w:styleId="317">
    <w:name w:val="Char1"/>
    <w:basedOn w:val="1"/>
    <w:qFormat/>
    <w:uiPriority w:val="0"/>
    <w:pPr>
      <w:tabs>
        <w:tab w:val="left" w:pos="360"/>
      </w:tabs>
    </w:pPr>
    <w:rPr>
      <w:sz w:val="24"/>
    </w:rPr>
  </w:style>
  <w:style w:type="paragraph" w:customStyle="1" w:styleId="318">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319">
    <w:name w:val="Header2"/>
    <w:basedOn w:val="1"/>
    <w:qFormat/>
    <w:uiPriority w:val="0"/>
    <w:pPr>
      <w:numPr>
        <w:ilvl w:val="0"/>
        <w:numId w:val="1"/>
      </w:numPr>
    </w:pPr>
  </w:style>
  <w:style w:type="paragraph" w:customStyle="1" w:styleId="320">
    <w:name w:val="Char Char 字元 字元 字元 Char Char Char Char"/>
    <w:basedOn w:val="1"/>
    <w:qFormat/>
    <w:uiPriority w:val="0"/>
    <w:pPr>
      <w:spacing w:line="360" w:lineRule="auto"/>
    </w:pPr>
    <w:rPr>
      <w:sz w:val="24"/>
      <w:szCs w:val="20"/>
    </w:rPr>
  </w:style>
  <w:style w:type="paragraph" w:customStyle="1" w:styleId="321">
    <w:name w:val="2cxspmiddle"/>
    <w:basedOn w:val="1"/>
    <w:qFormat/>
    <w:uiPriority w:val="0"/>
    <w:pPr>
      <w:widowControl/>
      <w:spacing w:before="100" w:beforeAutospacing="1" w:after="100" w:afterAutospacing="1"/>
      <w:jc w:val="left"/>
    </w:pPr>
    <w:rPr>
      <w:rFonts w:ascii="宋体" w:hAnsi="宋体" w:cs="宋体"/>
      <w:sz w:val="24"/>
    </w:rPr>
  </w:style>
  <w:style w:type="paragraph" w:customStyle="1" w:styleId="322">
    <w:name w:val="正文_0_0"/>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23">
    <w:name w:val="正文_1_0"/>
    <w:qFormat/>
    <w:uiPriority w:val="0"/>
    <w:pPr>
      <w:widowControl w:val="0"/>
      <w:jc w:val="both"/>
    </w:pPr>
    <w:rPr>
      <w:rFonts w:ascii="Times New Roman" w:hAnsi="Times New Roman" w:eastAsia="宋体" w:cs="Times New Roman"/>
      <w:sz w:val="21"/>
      <w:szCs w:val="24"/>
      <w:lang w:val="en-US" w:eastAsia="zh-CN" w:bidi="ar-SA"/>
    </w:rPr>
  </w:style>
  <w:style w:type="table" w:customStyle="1" w:styleId="324">
    <w:name w:val="网格型1"/>
    <w:basedOn w:val="217"/>
    <w:qFormat/>
    <w:uiPriority w:val="39"/>
    <w:rPr>
      <w:rFonts w:ascii="等线" w:hAnsi="等线" w:eastAsia="等线"/>
      <w:sz w:val="21"/>
      <w:szCs w:val="22"/>
    </w:rPr>
  </w:style>
  <w:style w:type="paragraph" w:customStyle="1" w:styleId="325">
    <w:name w:val="列出段落11"/>
    <w:basedOn w:val="1"/>
    <w:qFormat/>
    <w:uiPriority w:val="34"/>
    <w:pPr>
      <w:widowControl/>
      <w:ind w:left="720"/>
      <w:contextualSpacing/>
      <w:jc w:val="left"/>
    </w:pPr>
    <w:rPr>
      <w:sz w:val="24"/>
      <w:lang w:eastAsia="en-US" w:bidi="en-US"/>
    </w:rPr>
  </w:style>
  <w:style w:type="paragraph" w:customStyle="1" w:styleId="326">
    <w:name w:val="DAS正文"/>
    <w:basedOn w:val="1"/>
    <w:qFormat/>
    <w:uiPriority w:val="0"/>
    <w:pPr>
      <w:spacing w:line="360" w:lineRule="auto"/>
      <w:ind w:right="181" w:firstLine="480"/>
    </w:pPr>
    <w:rPr>
      <w:rFonts w:ascii="Verdana" w:hAnsi="Verdana"/>
      <w:sz w:val="24"/>
      <w:szCs w:val="20"/>
    </w:rPr>
  </w:style>
  <w:style w:type="paragraph" w:customStyle="1" w:styleId="327">
    <w:name w:val="普通(网站) Char"/>
    <w:basedOn w:val="1"/>
    <w:qFormat/>
    <w:uiPriority w:val="99"/>
    <w:pPr>
      <w:widowControl/>
      <w:spacing w:before="100" w:beforeAutospacing="1" w:after="100" w:afterAutospacing="1"/>
      <w:jc w:val="left"/>
    </w:pPr>
    <w:rPr>
      <w:rFonts w:ascii="宋体" w:hAnsi="宋体" w:cs="宋体"/>
      <w:sz w:val="24"/>
    </w:rPr>
  </w:style>
  <w:style w:type="paragraph" w:customStyle="1" w:styleId="328">
    <w:name w:val="无间隔2"/>
    <w:qFormat/>
    <w:uiPriority w:val="1"/>
    <w:pPr>
      <w:widowControl w:val="0"/>
      <w:spacing w:line="360" w:lineRule="auto"/>
      <w:ind w:firstLine="200"/>
      <w:jc w:val="both"/>
    </w:pPr>
    <w:rPr>
      <w:rFonts w:ascii="Arial" w:hAnsi="Arial" w:eastAsia="宋体" w:cs="Times New Roman"/>
      <w:sz w:val="24"/>
      <w:szCs w:val="24"/>
      <w:lang w:val="en-US" w:eastAsia="zh-CN" w:bidi="ar-SA"/>
    </w:rPr>
  </w:style>
  <w:style w:type="paragraph" w:customStyle="1" w:styleId="329">
    <w:name w:val="首行缩进"/>
    <w:basedOn w:val="1"/>
    <w:qFormat/>
    <w:uiPriority w:val="99"/>
    <w:pPr>
      <w:ind w:firstLine="480"/>
    </w:pPr>
    <w:rPr>
      <w:rFonts w:ascii="等线" w:hAnsi="等线" w:eastAsia="等线"/>
      <w:szCs w:val="22"/>
      <w:lang w:val="zh-CN"/>
    </w:rPr>
  </w:style>
  <w:style w:type="paragraph" w:customStyle="1" w:styleId="330">
    <w:name w:val="p0"/>
    <w:basedOn w:val="1"/>
    <w:qFormat/>
    <w:uiPriority w:val="0"/>
    <w:pPr>
      <w:widowControl/>
    </w:pPr>
    <w:rPr>
      <w:sz w:val="20"/>
      <w:szCs w:val="21"/>
      <w:lang w:val="zh-CN"/>
    </w:rPr>
  </w:style>
  <w:style w:type="paragraph" w:customStyle="1" w:styleId="331">
    <w:name w:val="Table Text"/>
    <w:basedOn w:val="1"/>
    <w:semiHidden/>
    <w:qFormat/>
    <w:uiPriority w:val="0"/>
    <w:rPr>
      <w:rFonts w:ascii="仿宋" w:hAnsi="仿宋" w:eastAsia="仿宋" w:cs="仿宋"/>
      <w:sz w:val="24"/>
      <w:lang w:eastAsia="en-US"/>
    </w:rPr>
  </w:style>
  <w:style w:type="table" w:customStyle="1" w:styleId="332">
    <w:name w:val="Table Normal"/>
    <w:unhideWhenUsed/>
    <w:qFormat/>
    <w:uiPriority w:val="0"/>
    <w:tblPr>
      <w:tblCellMar>
        <w:top w:w="0" w:type="dxa"/>
        <w:left w:w="0" w:type="dxa"/>
        <w:bottom w:w="0" w:type="dxa"/>
        <w:right w:w="0" w:type="dxa"/>
      </w:tblCellMar>
    </w:tblPr>
  </w:style>
  <w:style w:type="character" w:customStyle="1" w:styleId="333">
    <w:name w:val="NormalCharacter1"/>
    <w:qFormat/>
    <w:uiPriority w:val="99"/>
  </w:style>
  <w:style w:type="character" w:customStyle="1" w:styleId="334">
    <w:name w:val="font31"/>
    <w:basedOn w:val="216"/>
    <w:qFormat/>
    <w:uiPriority w:val="0"/>
    <w:rPr>
      <w:rFonts w:ascii="Times New Roman Regular" w:hAnsi="Times New Roman Regular" w:eastAsia="Times New Roman Regular" w:cs="Times New Roman Regular"/>
      <w:color w:val="000000"/>
      <w:sz w:val="24"/>
      <w:szCs w:val="24"/>
      <w:u w:val="none"/>
    </w:rPr>
  </w:style>
  <w:style w:type="character" w:customStyle="1" w:styleId="335">
    <w:name w:val="font91"/>
    <w:basedOn w:val="216"/>
    <w:qFormat/>
    <w:uiPriority w:val="0"/>
    <w:rPr>
      <w:rFonts w:ascii="Times New Roman" w:hAnsi="Times New Roman" w:cs="Times New Roman"/>
      <w:color w:val="000000"/>
      <w:sz w:val="20"/>
      <w:szCs w:val="20"/>
      <w:u w:val="none"/>
    </w:rPr>
  </w:style>
  <w:style w:type="character" w:customStyle="1" w:styleId="336">
    <w:name w:val="font11"/>
    <w:basedOn w:val="216"/>
    <w:qFormat/>
    <w:uiPriority w:val="0"/>
    <w:rPr>
      <w:rFonts w:hint="eastAsia" w:ascii="宋体" w:hAnsi="宋体" w:eastAsia="宋体" w:cs="宋体"/>
      <w:color w:val="000000"/>
      <w:sz w:val="20"/>
      <w:szCs w:val="20"/>
      <w:u w:val="none"/>
    </w:rPr>
  </w:style>
  <w:style w:type="character" w:customStyle="1" w:styleId="337">
    <w:name w:val="font101"/>
    <w:basedOn w:val="216"/>
    <w:qFormat/>
    <w:uiPriority w:val="0"/>
    <w:rPr>
      <w:rFonts w:ascii="Arial" w:hAnsi="Arial" w:cs="Arial"/>
      <w:color w:val="000000"/>
      <w:sz w:val="20"/>
      <w:szCs w:val="20"/>
      <w:u w:val="none"/>
    </w:rPr>
  </w:style>
  <w:style w:type="character" w:customStyle="1" w:styleId="338">
    <w:name w:val="font291"/>
    <w:basedOn w:val="216"/>
    <w:qFormat/>
    <w:uiPriority w:val="0"/>
    <w:rPr>
      <w:rFonts w:hint="eastAsia" w:ascii="宋体" w:hAnsi="宋体" w:eastAsia="宋体" w:cs="宋体"/>
      <w:color w:val="000000"/>
      <w:sz w:val="20"/>
      <w:szCs w:val="20"/>
      <w:u w:val="none"/>
    </w:rPr>
  </w:style>
  <w:style w:type="character" w:customStyle="1" w:styleId="339">
    <w:name w:val="font61"/>
    <w:basedOn w:val="216"/>
    <w:qFormat/>
    <w:uiPriority w:val="0"/>
    <w:rPr>
      <w:rFonts w:hint="eastAsia" w:ascii="等线" w:hAnsi="等线" w:eastAsia="等线" w:cs="等线"/>
      <w:color w:val="000000"/>
      <w:sz w:val="20"/>
      <w:szCs w:val="20"/>
      <w:u w:val="none"/>
    </w:rPr>
  </w:style>
  <w:style w:type="character" w:customStyle="1" w:styleId="340">
    <w:name w:val="font71"/>
    <w:basedOn w:val="216"/>
    <w:qFormat/>
    <w:uiPriority w:val="0"/>
    <w:rPr>
      <w:rFonts w:hint="eastAsia" w:ascii="宋体" w:hAnsi="宋体" w:eastAsia="宋体" w:cs="宋体"/>
      <w:color w:val="000000"/>
      <w:sz w:val="20"/>
      <w:szCs w:val="20"/>
      <w:u w:val="none"/>
    </w:rPr>
  </w:style>
  <w:style w:type="character" w:customStyle="1" w:styleId="341">
    <w:name w:val="font41"/>
    <w:basedOn w:val="216"/>
    <w:qFormat/>
    <w:uiPriority w:val="0"/>
    <w:rPr>
      <w:rFonts w:ascii="Times New Roman Regular" w:hAnsi="Times New Roman Regular" w:eastAsia="Times New Roman Regular" w:cs="Times New Roman Regular"/>
      <w:color w:val="000000"/>
      <w:sz w:val="20"/>
      <w:szCs w:val="20"/>
      <w:u w:val="none"/>
    </w:rPr>
  </w:style>
  <w:style w:type="character" w:customStyle="1" w:styleId="342">
    <w:name w:val="font301"/>
    <w:basedOn w:val="216"/>
    <w:qFormat/>
    <w:uiPriority w:val="0"/>
    <w:rPr>
      <w:rFonts w:ascii="Times New Roman Regular" w:hAnsi="Times New Roman Regular" w:eastAsia="Times New Roman Regular" w:cs="Times New Roman Regular"/>
      <w:color w:val="000000"/>
      <w:sz w:val="20"/>
      <w:szCs w:val="20"/>
      <w:u w:val="none"/>
    </w:rPr>
  </w:style>
  <w:style w:type="character" w:customStyle="1" w:styleId="343">
    <w:name w:val="font81"/>
    <w:basedOn w:val="216"/>
    <w:qFormat/>
    <w:uiPriority w:val="0"/>
    <w:rPr>
      <w:rFonts w:hint="eastAsia" w:ascii="宋体" w:hAnsi="宋体" w:eastAsia="宋体" w:cs="宋体"/>
      <w:color w:val="000000"/>
      <w:sz w:val="20"/>
      <w:szCs w:val="20"/>
      <w:u w:val="none"/>
    </w:rPr>
  </w:style>
  <w:style w:type="character" w:customStyle="1" w:styleId="344">
    <w:name w:val="font112"/>
    <w:basedOn w:val="216"/>
    <w:qFormat/>
    <w:uiPriority w:val="0"/>
    <w:rPr>
      <w:rFonts w:hint="eastAsia" w:ascii="等线" w:hAnsi="等线" w:eastAsia="等线" w:cs="等线"/>
      <w:color w:val="000000"/>
      <w:sz w:val="20"/>
      <w:szCs w:val="20"/>
      <w:u w:val="none"/>
    </w:rPr>
  </w:style>
  <w:style w:type="character" w:customStyle="1" w:styleId="345">
    <w:name w:val="font312"/>
    <w:basedOn w:val="216"/>
    <w:qFormat/>
    <w:uiPriority w:val="0"/>
    <w:rPr>
      <w:rFonts w:ascii="Arial" w:hAnsi="Arial" w:cs="Arial"/>
      <w:color w:val="000000"/>
      <w:sz w:val="20"/>
      <w:szCs w:val="20"/>
      <w:u w:val="none"/>
    </w:rPr>
  </w:style>
  <w:style w:type="character" w:customStyle="1" w:styleId="346">
    <w:name w:val="font321"/>
    <w:basedOn w:val="216"/>
    <w:qFormat/>
    <w:uiPriority w:val="0"/>
    <w:rPr>
      <w:rFonts w:ascii="微软雅黑" w:hAnsi="微软雅黑" w:eastAsia="微软雅黑" w:cs="微软雅黑"/>
      <w:color w:val="000000"/>
      <w:sz w:val="20"/>
      <w:szCs w:val="20"/>
      <w:u w:val="none"/>
    </w:rPr>
  </w:style>
  <w:style w:type="character" w:customStyle="1" w:styleId="347">
    <w:name w:val="font151"/>
    <w:basedOn w:val="216"/>
    <w:qFormat/>
    <w:uiPriority w:val="0"/>
    <w:rPr>
      <w:rFonts w:hint="eastAsia" w:ascii="宋体" w:hAnsi="宋体" w:eastAsia="宋体" w:cs="宋体"/>
      <w:color w:val="000000"/>
      <w:sz w:val="22"/>
      <w:szCs w:val="22"/>
      <w:u w:val="none"/>
    </w:rPr>
  </w:style>
  <w:style w:type="character" w:customStyle="1" w:styleId="348">
    <w:name w:val="font121"/>
    <w:basedOn w:val="216"/>
    <w:qFormat/>
    <w:uiPriority w:val="0"/>
    <w:rPr>
      <w:rFonts w:hint="eastAsia" w:ascii="宋体" w:hAnsi="宋体" w:eastAsia="宋体" w:cs="宋体"/>
      <w:b/>
      <w:bCs/>
      <w:color w:val="000000"/>
      <w:sz w:val="20"/>
      <w:szCs w:val="20"/>
      <w:u w:val="none"/>
    </w:rPr>
  </w:style>
  <w:style w:type="character" w:customStyle="1" w:styleId="349">
    <w:name w:val="font21"/>
    <w:basedOn w:val="216"/>
    <w:qFormat/>
    <w:uiPriority w:val="0"/>
    <w:rPr>
      <w:rFonts w:hint="eastAsia" w:ascii="宋体" w:hAnsi="宋体" w:eastAsia="宋体" w:cs="宋体"/>
      <w:b/>
      <w:bCs/>
      <w:color w:val="000000"/>
      <w:sz w:val="24"/>
      <w:szCs w:val="24"/>
      <w:u w:val="none"/>
    </w:rPr>
  </w:style>
  <w:style w:type="character" w:customStyle="1" w:styleId="350">
    <w:name w:val="font131"/>
    <w:basedOn w:val="216"/>
    <w:qFormat/>
    <w:uiPriority w:val="0"/>
    <w:rPr>
      <w:rFonts w:ascii="宋体" w:hAnsi="宋体" w:eastAsia="宋体" w:cs="宋体"/>
      <w:b/>
      <w:bCs/>
      <w:color w:val="000000"/>
      <w:sz w:val="24"/>
      <w:szCs w:val="24"/>
      <w:u w:val="none"/>
    </w:rPr>
  </w:style>
  <w:style w:type="character" w:customStyle="1" w:styleId="351">
    <w:name w:val="font141"/>
    <w:basedOn w:val="216"/>
    <w:qFormat/>
    <w:uiPriority w:val="0"/>
    <w:rPr>
      <w:rFonts w:ascii="微软雅黑" w:hAnsi="微软雅黑" w:eastAsia="微软雅黑" w:cs="微软雅黑"/>
      <w:color w:val="000000"/>
      <w:sz w:val="24"/>
      <w:szCs w:val="24"/>
      <w:u w:val="none"/>
    </w:rPr>
  </w:style>
  <w:style w:type="paragraph" w:customStyle="1" w:styleId="352">
    <w:name w:val="正文首行缩进1"/>
    <w:basedOn w:val="236"/>
    <w:qFormat/>
    <w:uiPriority w:val="0"/>
    <w:pPr>
      <w:spacing w:line="360" w:lineRule="auto"/>
      <w:ind w:firstLine="200"/>
    </w:pPr>
    <w:rPr>
      <w:sz w:val="30"/>
      <w:szCs w:val="30"/>
    </w:rPr>
  </w:style>
  <w:style w:type="paragraph" w:customStyle="1" w:styleId="353">
    <w:name w:val="正文文本1"/>
    <w:basedOn w:val="1"/>
    <w:next w:val="1"/>
    <w:qFormat/>
    <w:uiPriority w:val="0"/>
    <w:rPr>
      <w:rFonts w:ascii="楷体_GB2312" w:hAnsi="Arial" w:eastAsia="楷体_GB2312"/>
      <w:sz w:val="28"/>
      <w:szCs w:val="28"/>
    </w:rPr>
  </w:style>
  <w:style w:type="paragraph" w:customStyle="1" w:styleId="354">
    <w:name w:val="be358f00-9758-446e-aec5-cde8345aeef3"/>
    <w:basedOn w:val="236"/>
    <w:qFormat/>
    <w:uiPriority w:val="0"/>
    <w:pPr>
      <w:widowControl/>
      <w:spacing w:line="360" w:lineRule="auto"/>
      <w:ind w:firstLine="440"/>
      <w:jc w:val="left"/>
    </w:pPr>
    <w:rPr>
      <w:rFonts w:ascii="微软雅黑" w:hAnsi="微软雅黑" w:eastAsia="微软雅黑"/>
      <w:color w:val="000000"/>
      <w:sz w:val="22"/>
    </w:rPr>
  </w:style>
  <w:style w:type="character" w:customStyle="1" w:styleId="355">
    <w:name w:val="批注框文本 字符"/>
    <w:basedOn w:val="33"/>
    <w:link w:val="18"/>
    <w:semiHidden/>
    <w:qFormat/>
    <w:uiPriority w:val="99"/>
    <w:rPr>
      <w:sz w:val="18"/>
      <w:szCs w:val="18"/>
    </w:rPr>
  </w:style>
  <w:style w:type="character" w:customStyle="1" w:styleId="356">
    <w:name w:val="批注文字 字符"/>
    <w:basedOn w:val="33"/>
    <w:link w:val="13"/>
    <w:qFormat/>
    <w:uiPriority w:val="99"/>
    <w:rPr>
      <w:sz w:val="21"/>
      <w:szCs w:val="24"/>
    </w:rPr>
  </w:style>
  <w:style w:type="character" w:customStyle="1" w:styleId="357">
    <w:name w:val="批注主题 字符"/>
    <w:basedOn w:val="356"/>
    <w:link w:val="30"/>
    <w:semiHidden/>
    <w:qFormat/>
    <w:uiPriority w:val="99"/>
    <w:rPr>
      <w:b/>
      <w:bCs/>
      <w:sz w:val="21"/>
      <w:szCs w:val="24"/>
    </w:rPr>
  </w:style>
  <w:style w:type="paragraph" w:customStyle="1" w:styleId="358">
    <w:name w:val="修订1"/>
    <w:hidden/>
    <w:semiHidden/>
    <w:qFormat/>
    <w:uiPriority w:val="99"/>
    <w:rPr>
      <w:rFonts w:ascii="Times New Roman" w:hAnsi="Times New Roman" w:eastAsia="宋体" w:cs="Times New Roman"/>
      <w:sz w:val="21"/>
      <w:szCs w:val="24"/>
      <w:lang w:val="en-US" w:eastAsia="zh-CN" w:bidi="ar-SA"/>
    </w:rPr>
  </w:style>
  <w:style w:type="character" w:customStyle="1" w:styleId="359">
    <w:name w:val="titlebody"/>
    <w:qFormat/>
    <w:uiPriority w:val="0"/>
    <w:rPr>
      <w:rFonts w:ascii="宋体" w:hAnsi="宋体" w:eastAsia="宋体" w:cs="宋体"/>
      <w:b/>
      <w:bCs/>
      <w:color w:val="000000"/>
      <w:sz w:val="24"/>
      <w:szCs w:val="24"/>
    </w:rPr>
  </w:style>
  <w:style w:type="paragraph" w:customStyle="1" w:styleId="360">
    <w:name w:val="Normal_0"/>
    <w:qFormat/>
    <w:uiPriority w:val="0"/>
    <w:rPr>
      <w:rFonts w:ascii="Times New Roman" w:hAnsi="Times New Roman" w:eastAsia="Times New Roman" w:cs="Times New Roman"/>
      <w:sz w:val="24"/>
      <w:szCs w:val="24"/>
      <w:lang w:val="en-US" w:eastAsia="zh-CN" w:bidi="ar-SA"/>
    </w:rPr>
  </w:style>
  <w:style w:type="paragraph" w:customStyle="1" w:styleId="361">
    <w:name w:val="ds-markdown-paragraph"/>
    <w:basedOn w:val="1"/>
    <w:qFormat/>
    <w:uiPriority w:val="0"/>
    <w:pPr>
      <w:widowControl/>
      <w:spacing w:before="100" w:beforeAutospacing="1" w:after="100" w:afterAutospacing="1"/>
      <w:jc w:val="left"/>
    </w:pPr>
    <w:rPr>
      <w:rFonts w:ascii="宋体" w:hAnsi="宋体" w:cs="宋体"/>
      <w:sz w:val="24"/>
    </w:rPr>
  </w:style>
  <w:style w:type="paragraph" w:customStyle="1" w:styleId="362">
    <w:name w:val="修订2"/>
    <w:hidden/>
    <w:unhideWhenUsed/>
    <w:qFormat/>
    <w:uiPriority w:val="99"/>
    <w:rPr>
      <w:rFonts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122D89-A60E-4614-9F44-34A223793905}">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5550</Words>
  <Characters>5859</Characters>
  <Lines>43</Lines>
  <Paragraphs>12</Paragraphs>
  <TotalTime>8</TotalTime>
  <ScaleCrop>false</ScaleCrop>
  <LinksUpToDate>false</LinksUpToDate>
  <CharactersWithSpaces>5900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2026-03-19T02:13:00Z</dcterms:created>
  <dc:creator>xuzhen</dc:creator>
  <cp:lastModifiedBy>安好~天晴</cp:lastModifiedBy>
  <cp:lastPrinted>2026-03-13T02:59:00Z</cp:lastPrinted>
  <dcterms:modified xsi:type="dcterms:W3CDTF">2026-03-19T02:56:16Z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eyJoZGlkIjoiZWY5YWIwMjdmYzcxMWYwNjljMWU1NDA3MWU5ZDkwM2EiLCJ1c2VySWQiOiI2NDMzNTgxODgifQ==</vt:lpwstr>
  </property>
  <property fmtid="{D5CDD505-2E9C-101B-9397-08002B2CF9AE}" pid="3" name="KSOProductBuildVer">
    <vt:lpwstr>2052-12.1.0.25225</vt:lpwstr>
  </property>
  <property fmtid="{D5CDD505-2E9C-101B-9397-08002B2CF9AE}" pid="4" name="ICV">
    <vt:lpwstr>5DA38A5358FC46619AA8AABD2B3E9AA0_13</vt:lpwstr>
  </property>
</Properties>
</file>