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A9F4E">
      <w:pPr>
        <w:spacing w:line="360" w:lineRule="auto"/>
        <w:jc w:val="center"/>
        <w:rPr>
          <w:rFonts w:eastAsia="方正小标宋简体"/>
          <w:sz w:val="44"/>
          <w:szCs w:val="28"/>
        </w:rPr>
      </w:pPr>
      <w:r>
        <w:rPr>
          <w:rFonts w:hint="eastAsia" w:eastAsia="方正小标宋简体"/>
          <w:sz w:val="44"/>
          <w:szCs w:val="28"/>
        </w:rPr>
        <w:t>2025年升学教室文化氛围营造采购需求</w:t>
      </w:r>
    </w:p>
    <w:p w14:paraId="1D2561A3">
      <w:pPr>
        <w:widowControl/>
        <w:spacing w:line="240" w:lineRule="auto"/>
        <w:rPr>
          <w:rFonts w:ascii="Times New Roman" w:hAnsi="Times New Roman" w:eastAsia="黑体" w:cs="黑体"/>
          <w:b/>
          <w:sz w:val="32"/>
          <w:szCs w:val="32"/>
        </w:rPr>
      </w:pPr>
    </w:p>
    <w:p w14:paraId="003CB73A">
      <w:pPr>
        <w:widowControl/>
        <w:spacing w:line="240" w:lineRule="auto"/>
        <w:ind w:firstLine="643" w:firstLineChars="200"/>
        <w:rPr>
          <w:rFonts w:ascii="Times New Roman" w:hAnsi="Times New Roman" w:eastAsia="黑体" w:cs="黑体"/>
          <w:b/>
          <w:sz w:val="32"/>
          <w:szCs w:val="32"/>
        </w:rPr>
      </w:pPr>
      <w:r>
        <w:rPr>
          <w:rFonts w:hint="eastAsia" w:ascii="Times New Roman" w:hAnsi="Times New Roman" w:eastAsia="黑体" w:cs="黑体"/>
          <w:b/>
          <w:sz w:val="32"/>
          <w:szCs w:val="32"/>
        </w:rPr>
        <w:t>一、项目目标</w:t>
      </w:r>
      <w:r>
        <w:rPr>
          <w:rFonts w:ascii="Times New Roman" w:hAnsi="Times New Roman" w:eastAsia="黑体" w:cs="黑体"/>
          <w:b/>
          <w:sz w:val="32"/>
          <w:szCs w:val="32"/>
        </w:rPr>
        <w:t xml:space="preserve"> </w:t>
      </w:r>
    </w:p>
    <w:p w14:paraId="344DD01D">
      <w:pPr>
        <w:widowControl/>
        <w:spacing w:line="240" w:lineRule="auto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1.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打造激励升学学子的荣誉展示空间，营造积极备考氛围；</w:t>
      </w:r>
    </w:p>
    <w:p w14:paraId="6E4F5D9D">
      <w:pPr>
        <w:widowControl/>
        <w:spacing w:line="240" w:lineRule="auto"/>
        <w:ind w:firstLine="640" w:firstLineChars="200"/>
        <w:rPr>
          <w:rFonts w:eastAsia="方正小标宋简体"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2.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提供实用考研信息支持，助力学生高效择校备考。</w:t>
      </w:r>
    </w:p>
    <w:p w14:paraId="52251957">
      <w:pPr>
        <w:spacing w:line="240" w:lineRule="auto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二、产品数量和规格</w:t>
      </w:r>
    </w:p>
    <w:p w14:paraId="10A2A2B6">
      <w:pPr>
        <w:ind w:firstLine="640" w:firstLineChars="200"/>
        <w:rPr>
          <w:rFonts w:ascii="Times New Roman" w:hAnsi="Times New Roman" w:eastAsia="楷体" w:cs="仿宋_GB2312"/>
          <w:sz w:val="32"/>
          <w:szCs w:val="32"/>
        </w:rPr>
      </w:pPr>
      <w:r>
        <w:rPr>
          <w:rFonts w:eastAsia="楷体"/>
          <w:sz w:val="32"/>
          <w:szCs w:val="32"/>
        </w:rPr>
        <w:t>1.</w:t>
      </w:r>
      <w:r>
        <w:rPr>
          <w:rFonts w:hint="eastAsia" w:ascii="Times New Roman" w:hAnsi="Times New Roman" w:eastAsia="楷体" w:cs="仿宋_GB2312"/>
          <w:sz w:val="32"/>
          <w:szCs w:val="32"/>
        </w:rPr>
        <w:t>升学学子风采展示区</w:t>
      </w:r>
    </w:p>
    <w:p w14:paraId="6F45A789">
      <w:pPr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每个学院各一个设计方案（人文学院、外国语学院、商学院、法政学院、信息工程学院、工学院、音乐学院、生命科学与环境工程学院），共</w:t>
      </w:r>
      <w:r>
        <w:rPr>
          <w:rFonts w:ascii="Times New Roman" w:hAnsi="Times New Roman" w:eastAsia="仿宋_GB2312" w:cs="仿宋_GB2312"/>
          <w:bCs/>
          <w:sz w:val="32"/>
          <w:szCs w:val="32"/>
        </w:rPr>
        <w:t>8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个方案，</w:t>
      </w:r>
      <w:r>
        <w:rPr>
          <w:rFonts w:hint="eastAsia" w:eastAsia="仿宋_GB2312" w:cs="仿宋_GB2312"/>
          <w:bCs/>
          <w:sz w:val="32"/>
          <w:szCs w:val="32"/>
        </w:rPr>
        <w:t>方案可以是8套不同的创意设计，也可以是基于一个主模板进行8种个性化方案调整。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方案要求如下：</w:t>
      </w:r>
    </w:p>
    <w:p w14:paraId="4C7F00CF">
      <w:pPr>
        <w:widowControl/>
        <w:spacing w:line="240" w:lineRule="auto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内容：包括设计元素、考研励志标语、榜样展示</w:t>
      </w:r>
      <w:r>
        <w:rPr>
          <w:rFonts w:hint="eastAsia" w:eastAsia="仿宋_GB2312" w:cs="仿宋_GB2312"/>
          <w:bCs/>
          <w:sz w:val="32"/>
          <w:szCs w:val="32"/>
          <w:lang w:eastAsia="zh-CN"/>
        </w:rPr>
        <w:t>（</w:t>
      </w:r>
      <w:r>
        <w:rPr>
          <w:rFonts w:hint="eastAsia" w:eastAsia="仿宋_GB2312" w:cs="仿宋_GB2312"/>
          <w:bCs/>
          <w:sz w:val="32"/>
          <w:szCs w:val="32"/>
          <w:lang w:val="en-US" w:eastAsia="zh-CN"/>
        </w:rPr>
        <w:t>照片及录取院校等相关信息由甲方提供</w:t>
      </w:r>
      <w:r>
        <w:rPr>
          <w:rFonts w:hint="eastAsia" w:eastAsia="仿宋_GB2312" w:cs="仿宋_GB2312"/>
          <w:bCs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。</w:t>
      </w:r>
    </w:p>
    <w:p w14:paraId="4968D82A">
      <w:pPr>
        <w:widowControl/>
        <w:spacing w:line="240" w:lineRule="auto"/>
        <w:ind w:firstLine="640" w:firstLineChars="200"/>
        <w:rPr>
          <w:rFonts w:ascii="Times New Roman" w:hAnsi="Times New Roman" w:eastAsia="仿宋_GB2312" w:cs="宋体"/>
          <w:bCs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规格：每个方案的规格为长度</w:t>
      </w:r>
      <w:r>
        <w:rPr>
          <w:rFonts w:hint="eastAsia" w:eastAsia="仿宋_GB2312"/>
          <w:sz w:val="32"/>
          <w:szCs w:val="32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米，高度</w:t>
      </w:r>
      <w:r>
        <w:rPr>
          <w:rFonts w:eastAsia="仿宋_GB2312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sz w:val="32"/>
          <w:szCs w:val="32"/>
        </w:rPr>
        <w:t>米</w:t>
      </w:r>
      <w:r>
        <w:rPr>
          <w:rFonts w:hint="eastAsia" w:eastAsia="仿宋_GB2312" w:cs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bCs/>
          <w:color w:val="auto"/>
          <w:sz w:val="32"/>
          <w:szCs w:val="32"/>
          <w:highlight w:val="none"/>
        </w:rPr>
        <w:t>彩色UV异形雕刻</w:t>
      </w:r>
      <w:r>
        <w:rPr>
          <w:rFonts w:hint="eastAsia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,</w:t>
      </w:r>
      <w:r>
        <w:rPr>
          <w:rFonts w:hint="eastAsia" w:ascii="Times New Roman" w:hAnsi="Times New Roman" w:eastAsia="仿宋_GB2312" w:cs="宋体"/>
          <w:bCs/>
          <w:color w:val="auto"/>
          <w:sz w:val="32"/>
          <w:szCs w:val="32"/>
          <w:highlight w:val="none"/>
        </w:rPr>
        <w:t>双层照片插槽（</w:t>
      </w:r>
      <w:r>
        <w:rPr>
          <w:rFonts w:hint="eastAsia" w:eastAsia="仿宋_GB2312" w:cs="宋体"/>
          <w:bCs/>
          <w:color w:val="auto"/>
          <w:sz w:val="32"/>
          <w:szCs w:val="32"/>
          <w:highlight w:val="none"/>
          <w:lang w:val="en-US" w:eastAsia="zh-CN"/>
        </w:rPr>
        <w:t>2cm</w:t>
      </w:r>
      <w:r>
        <w:rPr>
          <w:rFonts w:hint="eastAsia" w:ascii="Times New Roman" w:hAnsi="Times New Roman" w:eastAsia="仿宋_GB2312" w:cs="宋体"/>
          <w:bCs/>
          <w:color w:val="auto"/>
          <w:sz w:val="32"/>
          <w:szCs w:val="32"/>
          <w:highlight w:val="none"/>
        </w:rPr>
        <w:t>雪弗板底+0.3㎝水晶亚克力面</w:t>
      </w:r>
      <w:r>
        <w:rPr>
          <w:rFonts w:hint="eastAsia" w:eastAsia="仿宋_GB2312" w:cs="宋体"/>
          <w:bCs/>
          <w:color w:val="auto"/>
          <w:sz w:val="32"/>
          <w:szCs w:val="32"/>
          <w:highlight w:val="none"/>
          <w:lang w:eastAsia="zh-CN"/>
        </w:rPr>
        <w:t>）。</w:t>
      </w:r>
    </w:p>
    <w:p w14:paraId="6C134614">
      <w:pPr>
        <w:widowControl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结构：榜样展示区采用独立的亚克力相框，方便对照片进行更新替换，相框数量为</w:t>
      </w:r>
      <w:r>
        <w:rPr>
          <w:rFonts w:ascii="Times New Roman" w:hAnsi="Times New Roman" w:eastAsia="仿宋_GB2312" w:cs="仿宋_GB2312"/>
          <w:bCs/>
          <w:sz w:val="32"/>
          <w:szCs w:val="32"/>
        </w:rPr>
        <w:t>20-25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个，每个相框尺寸须一致（具体尺寸根据设计方案确定）</w:t>
      </w:r>
    </w:p>
    <w:p w14:paraId="00DE56A1">
      <w:pPr>
        <w:ind w:firstLine="640" w:firstLineChars="200"/>
        <w:rPr>
          <w:rFonts w:ascii="Times New Roman" w:hAnsi="Times New Roman" w:eastAsia="楷体" w:cs="仿宋_GB2312"/>
          <w:sz w:val="32"/>
          <w:szCs w:val="32"/>
        </w:rPr>
      </w:pPr>
      <w:r>
        <w:rPr>
          <w:rFonts w:eastAsia="楷体"/>
          <w:sz w:val="32"/>
          <w:szCs w:val="32"/>
        </w:rPr>
        <w:t>2.</w:t>
      </w:r>
      <w:r>
        <w:rPr>
          <w:rFonts w:ascii="Times New Roman" w:hAnsi="Times New Roman" w:eastAsia="楷体"/>
          <w:sz w:val="32"/>
          <w:szCs w:val="32"/>
        </w:rPr>
        <w:t>研究生招生</w:t>
      </w:r>
      <w:r>
        <w:rPr>
          <w:rFonts w:hint="eastAsia" w:ascii="Times New Roman" w:hAnsi="Times New Roman" w:eastAsia="楷体" w:cs="仿宋_GB2312"/>
          <w:sz w:val="32"/>
          <w:szCs w:val="32"/>
        </w:rPr>
        <w:t>院校简介区</w:t>
      </w:r>
    </w:p>
    <w:p w14:paraId="0FE57115">
      <w:pPr>
        <w:widowControl/>
        <w:spacing w:line="240" w:lineRule="auto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内容：由甲方提供。</w:t>
      </w:r>
    </w:p>
    <w:p w14:paraId="141A45BE">
      <w:pPr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材质：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0.3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㎝透明PVC硬片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+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写真纸海报</w:t>
      </w:r>
    </w:p>
    <w:p w14:paraId="2E779FFD">
      <w:pPr>
        <w:ind w:firstLine="640" w:firstLineChars="200"/>
        <w:rPr>
          <w:rFonts w:hint="default" w:ascii="Times New Roman" w:hAnsi="Times New Roman" w:eastAsia="仿宋_GB2312" w:cs="仿宋_GB2312"/>
          <w:bCs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  <w:highlight w:val="none"/>
        </w:rPr>
        <w:t>数量：</w:t>
      </w:r>
      <w:r>
        <w:rPr>
          <w:rFonts w:hint="eastAsia" w:eastAsia="仿宋_GB2312" w:cs="仿宋_GB2312"/>
          <w:bCs/>
          <w:sz w:val="32"/>
          <w:szCs w:val="32"/>
          <w:highlight w:val="none"/>
          <w:lang w:val="en-US" w:eastAsia="zh-CN"/>
        </w:rPr>
        <w:t>30</w:t>
      </w:r>
    </w:p>
    <w:p w14:paraId="5AF693A2">
      <w:pPr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  <w:highlight w:val="none"/>
        </w:rPr>
        <w:t>规格：</w:t>
      </w:r>
      <w:r>
        <w:rPr>
          <w:rFonts w:ascii="Times New Roman" w:hAnsi="Times New Roman" w:eastAsia="仿宋_GB2312" w:cs="仿宋_GB2312"/>
          <w:bCs/>
          <w:sz w:val="32"/>
          <w:szCs w:val="32"/>
          <w:highlight w:val="none"/>
        </w:rPr>
        <w:t>1.3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highlight w:val="none"/>
        </w:rPr>
        <w:t>米×</w:t>
      </w:r>
      <w:r>
        <w:rPr>
          <w:rFonts w:ascii="Times New Roman" w:hAnsi="Times New Roman" w:eastAsia="仿宋_GB2312" w:cs="仿宋_GB2312"/>
          <w:bCs/>
          <w:sz w:val="32"/>
          <w:szCs w:val="32"/>
          <w:highlight w:val="none"/>
        </w:rPr>
        <w:t>0.9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highlight w:val="none"/>
        </w:rPr>
        <w:t>米。</w:t>
      </w:r>
    </w:p>
    <w:p w14:paraId="49A2D120">
      <w:pPr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  <w:highlight w:val="none"/>
        </w:rPr>
        <w:t>安装方式：嵌入</w:t>
      </w:r>
      <w:r>
        <w:rPr>
          <w:rFonts w:hint="eastAsia" w:eastAsia="仿宋_GB2312" w:cs="仿宋_GB2312"/>
          <w:bCs/>
          <w:sz w:val="32"/>
          <w:szCs w:val="32"/>
          <w:highlight w:val="none"/>
          <w:lang w:val="en-US" w:eastAsia="zh-CN"/>
        </w:rPr>
        <w:t>开合式</w:t>
      </w:r>
      <w:r>
        <w:rPr>
          <w:rFonts w:hint="eastAsia" w:eastAsia="仿宋_GB2312" w:cs="仿宋_GB2312"/>
          <w:bCs/>
          <w:sz w:val="32"/>
          <w:szCs w:val="32"/>
          <w:highlight w:val="none"/>
        </w:rPr>
        <w:t>海报</w:t>
      </w:r>
      <w:r>
        <w:rPr>
          <w:rFonts w:hint="eastAsia" w:eastAsia="仿宋_GB2312" w:cs="仿宋_GB2312"/>
          <w:bCs/>
          <w:sz w:val="32"/>
          <w:szCs w:val="32"/>
          <w:highlight w:val="none"/>
          <w:lang w:val="en-US" w:eastAsia="zh-CN"/>
        </w:rPr>
        <w:t>框</w:t>
      </w:r>
    </w:p>
    <w:p w14:paraId="3A46FC8B">
      <w:pPr>
        <w:spacing w:line="240" w:lineRule="auto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三、预算金额</w:t>
      </w:r>
    </w:p>
    <w:p w14:paraId="5BCF521D">
      <w:pPr>
        <w:spacing w:line="240" w:lineRule="auto"/>
        <w:ind w:firstLine="640" w:firstLineChars="200"/>
        <w:rPr>
          <w:rFonts w:eastAsia="黑体"/>
          <w:sz w:val="32"/>
          <w:szCs w:val="32"/>
        </w:rPr>
      </w:pPr>
      <w:r>
        <w:rPr>
          <w:bCs/>
          <w:sz w:val="32"/>
          <w:szCs w:val="32"/>
        </w:rPr>
        <w:t>33000</w:t>
      </w:r>
      <w:r>
        <w:rPr>
          <w:rFonts w:hint="eastAsia" w:ascii="Times New Roman" w:hAnsi="Times New Roman"/>
          <w:bCs/>
          <w:sz w:val="32"/>
          <w:szCs w:val="32"/>
        </w:rPr>
        <w:t>元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（包含方案设计、制作、运输、安装、税务等相关费用）。</w:t>
      </w:r>
    </w:p>
    <w:p w14:paraId="376425D3">
      <w:pPr>
        <w:numPr>
          <w:ilvl w:val="0"/>
          <w:numId w:val="0"/>
        </w:numPr>
        <w:spacing w:line="240" w:lineRule="auto"/>
        <w:ind w:left="64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四、交货时间</w:t>
      </w:r>
    </w:p>
    <w:p w14:paraId="156C8D31">
      <w:pPr>
        <w:spacing w:line="240" w:lineRule="auto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工期</w:t>
      </w:r>
      <w:r>
        <w:rPr>
          <w:rFonts w:ascii="Times New Roman" w:hAnsi="Times New Roman" w:eastAsia="仿宋_GB2312" w:cs="仿宋_GB2312"/>
          <w:sz w:val="32"/>
          <w:szCs w:val="32"/>
        </w:rPr>
        <w:t>7</w:t>
      </w:r>
      <w:r>
        <w:rPr>
          <w:rFonts w:hint="eastAsia" w:ascii="Times New Roman" w:hAnsi="Times New Roman" w:eastAsia="仿宋_GB2312" w:cs="仿宋_GB2312"/>
          <w:sz w:val="32"/>
          <w:szCs w:val="32"/>
        </w:rPr>
        <w:t>天。（自设计方案最终确认并下达生产通知之日起）</w:t>
      </w:r>
    </w:p>
    <w:p w14:paraId="3A70C030">
      <w:pPr>
        <w:numPr>
          <w:ilvl w:val="0"/>
          <w:numId w:val="0"/>
        </w:numPr>
        <w:spacing w:line="240" w:lineRule="auto"/>
        <w:ind w:left="640"/>
        <w:rPr>
          <w:rFonts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五、施工方案</w:t>
      </w:r>
    </w:p>
    <w:p w14:paraId="658F1EDE"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本项目响应供应商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至现场勘察确认，请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提前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联系张老师，联系电话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18852815719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将在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（星期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17:00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-17:30集中勘察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488D808A">
      <w:pPr>
        <w:spacing w:line="240" w:lineRule="auto"/>
        <w:ind w:firstLine="640" w:firstLineChars="200"/>
        <w:rPr>
          <w:rFonts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1.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因施工位于升学教室区，为不影响学生学习，请务必提前和张老师确认施工时间；</w:t>
      </w:r>
    </w:p>
    <w:p w14:paraId="5E2CD83E">
      <w:pPr>
        <w:spacing w:line="240" w:lineRule="auto"/>
        <w:ind w:firstLine="640" w:firstLineChars="200"/>
        <w:rPr>
          <w:rFonts w:ascii="Times New Roman" w:hAnsi="Times New Roman" w:eastAsia="黑体" w:cs="黑体"/>
          <w:color w:val="auto"/>
          <w:sz w:val="32"/>
          <w:szCs w:val="32"/>
        </w:rPr>
      </w:pPr>
      <w:r>
        <w:rPr>
          <w:rFonts w:hint="eastAsia" w:eastAsia="仿宋_GB2312" w:cs="仿宋_GB2312"/>
          <w:color w:val="auto"/>
          <w:sz w:val="32"/>
          <w:szCs w:val="32"/>
        </w:rPr>
        <w:t>2.设计方案待甲方确认后方可实施，甲方有权对设计方案提出进一步的修改意见；</w:t>
      </w:r>
      <w:bookmarkStart w:id="0" w:name="_GoBack"/>
      <w:bookmarkEnd w:id="0"/>
    </w:p>
    <w:p w14:paraId="739C4A5F">
      <w:pPr>
        <w:spacing w:line="240" w:lineRule="auto"/>
        <w:ind w:firstLine="640" w:firstLineChars="200"/>
        <w:rPr>
          <w:rFonts w:eastAsia="仿宋_GB2312" w:cs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3.施工过程中如涉及</w:t>
      </w:r>
      <w:r>
        <w:rPr>
          <w:rFonts w:hint="eastAsia" w:ascii="Times New Roman" w:hAnsi="Times New Roman" w:eastAsia="仿宋_GB2312" w:cs="仿宋_GB2312"/>
          <w:sz w:val="32"/>
          <w:szCs w:val="32"/>
        </w:rPr>
        <w:t>墙面改造需考虑建筑结构及美观性要求；</w:t>
      </w:r>
    </w:p>
    <w:p w14:paraId="3A71337D">
      <w:pPr>
        <w:spacing w:line="240" w:lineRule="auto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4.施工要求平整牢固，无翘曲、晃动，整体位置准确，接缝处理均匀美观</w:t>
      </w:r>
    </w:p>
    <w:p w14:paraId="4882E458">
      <w:pPr>
        <w:spacing w:line="240" w:lineRule="auto"/>
        <w:ind w:firstLine="640" w:firstLineChars="200"/>
        <w:rPr>
          <w:rFonts w:eastAsia="仿宋_GB2312" w:cs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5.</w:t>
      </w:r>
      <w:r>
        <w:rPr>
          <w:rFonts w:hint="eastAsia" w:ascii="Times New Roman" w:hAnsi="Times New Roman" w:eastAsia="仿宋_GB2312" w:cs="仿宋_GB2312"/>
          <w:sz w:val="32"/>
          <w:szCs w:val="32"/>
        </w:rPr>
        <w:t>施工完成后，必须认真检查每一个细节，确保最终效果和设计效果一致，符合预期。</w:t>
      </w:r>
      <w:r>
        <w:rPr>
          <w:rFonts w:hint="eastAsia" w:eastAsia="仿宋_GB2312" w:cs="仿宋_GB2312"/>
          <w:sz w:val="32"/>
          <w:szCs w:val="32"/>
        </w:rPr>
        <w:t>并提供不少于1年的免费质保，质保范围包括非人为因素造成的开裂、脱落、褪色等问题。</w:t>
      </w:r>
    </w:p>
    <w:p w14:paraId="5AA04D6F">
      <w:pPr>
        <w:spacing w:line="240" w:lineRule="auto"/>
        <w:ind w:firstLine="640" w:firstLineChars="200"/>
        <w:rPr>
          <w:rFonts w:ascii="Times New Roman" w:hAnsi="Times New Roman" w:eastAsia="黑体" w:cs="黑体"/>
          <w:b/>
          <w:bCs/>
          <w:sz w:val="32"/>
          <w:szCs w:val="32"/>
        </w:rPr>
      </w:pPr>
      <w:r>
        <w:rPr>
          <w:rFonts w:hint="eastAsia" w:eastAsia="黑体"/>
          <w:sz w:val="32"/>
          <w:szCs w:val="32"/>
        </w:rPr>
        <w:t>六、</w:t>
      </w:r>
      <w:r>
        <w:rPr>
          <w:rFonts w:hint="eastAsia" w:ascii="Times New Roman" w:hAnsi="Times New Roman" w:eastAsia="黑体" w:cs="黑体"/>
          <w:b/>
          <w:bCs/>
          <w:sz w:val="32"/>
          <w:szCs w:val="32"/>
        </w:rPr>
        <w:t>评分指标</w:t>
      </w:r>
    </w:p>
    <w:tbl>
      <w:tblPr>
        <w:tblStyle w:val="5"/>
        <w:tblW w:w="86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6598"/>
        <w:gridCol w:w="810"/>
      </w:tblGrid>
      <w:tr w14:paraId="0459B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77DA2">
            <w:pPr>
              <w:spacing w:line="560" w:lineRule="exact"/>
              <w:ind w:left="-13" w:leftChars="-6"/>
              <w:jc w:val="center"/>
              <w:rPr>
                <w:rFonts w:ascii="Times New Roman" w:hAnsi="Times New Roman" w:eastAsia="仿宋" w:cs="仿宋"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评分指标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B8652">
            <w:pPr>
              <w:spacing w:line="560" w:lineRule="exact"/>
              <w:ind w:left="-13" w:leftChars="-6"/>
              <w:jc w:val="center"/>
              <w:rPr>
                <w:rFonts w:ascii="Times New Roman" w:hAnsi="Times New Roman" w:eastAsia="仿宋" w:cs="仿宋"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评分细则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CC2CC">
            <w:pPr>
              <w:spacing w:line="560" w:lineRule="exact"/>
              <w:ind w:left="-13" w:leftChars="-6"/>
              <w:jc w:val="center"/>
              <w:rPr>
                <w:rFonts w:ascii="Times New Roman" w:hAnsi="Times New Roman" w:eastAsia="仿宋" w:cs="仿宋"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分值</w:t>
            </w:r>
          </w:p>
        </w:tc>
      </w:tr>
      <w:tr w14:paraId="6CEAB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  <w:jc w:val="center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21AF0">
            <w:pPr>
              <w:spacing w:line="560" w:lineRule="exact"/>
              <w:ind w:left="-13" w:leftChars="-6"/>
              <w:jc w:val="center"/>
              <w:rPr>
                <w:rFonts w:ascii="Times New Roman" w:hAnsi="Times New Roman" w:eastAsia="仿宋" w:cs="仿宋"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价格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02A98">
            <w:pPr>
              <w:rPr>
                <w:rFonts w:ascii="Times New Roman" w:hAnsi="Times New Roman" w:eastAsia="仿宋" w:cs="仿宋"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满足采购文件要求且最低报价为基准价，其价格分为</w:t>
            </w:r>
            <w:r>
              <w:rPr>
                <w:rFonts w:ascii="Times New Roman" w:hAnsi="Times New Roman" w:eastAsia="仿宋" w:cs="仿宋"/>
                <w:sz w:val="20"/>
                <w:szCs w:val="20"/>
              </w:rPr>
              <w:t>50</w:t>
            </w: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分。供应商的价格分统一按照下列公式计算：报价得分</w:t>
            </w:r>
            <w:r>
              <w:rPr>
                <w:rFonts w:ascii="Times New Roman" w:hAnsi="Times New Roman" w:eastAsia="仿宋" w:cs="仿宋"/>
                <w:sz w:val="20"/>
                <w:szCs w:val="20"/>
              </w:rPr>
              <w:t>=(</w:t>
            </w: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基准价／报价</w:t>
            </w:r>
            <w:r>
              <w:rPr>
                <w:rFonts w:ascii="Times New Roman" w:hAnsi="Times New Roman" w:eastAsia="仿宋" w:cs="仿宋"/>
                <w:sz w:val="20"/>
                <w:szCs w:val="20"/>
              </w:rPr>
              <w:t>)</w:t>
            </w: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×</w:t>
            </w:r>
            <w:r>
              <w:rPr>
                <w:rFonts w:ascii="Times New Roman" w:hAnsi="Times New Roman" w:eastAsia="仿宋" w:cs="仿宋"/>
                <w:sz w:val="20"/>
                <w:szCs w:val="20"/>
              </w:rPr>
              <w:t>50</w:t>
            </w: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EC364">
            <w:pPr>
              <w:spacing w:line="560" w:lineRule="exact"/>
              <w:ind w:left="-13" w:leftChars="-6"/>
              <w:jc w:val="center"/>
              <w:rPr>
                <w:rFonts w:ascii="Times New Roman" w:hAnsi="Times New Roman" w:eastAsia="仿宋" w:cs="仿宋"/>
                <w:sz w:val="20"/>
                <w:szCs w:val="20"/>
              </w:rPr>
            </w:pPr>
            <w:r>
              <w:rPr>
                <w:rFonts w:ascii="Times New Roman" w:hAnsi="Times New Roman" w:eastAsia="仿宋" w:cs="仿宋"/>
                <w:sz w:val="20"/>
                <w:szCs w:val="20"/>
              </w:rPr>
              <w:t>50</w:t>
            </w:r>
          </w:p>
        </w:tc>
      </w:tr>
      <w:tr w14:paraId="43FA2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  <w:jc w:val="center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2EEB5">
            <w:pPr>
              <w:spacing w:line="560" w:lineRule="exact"/>
              <w:ind w:left="-13" w:leftChars="-6"/>
              <w:jc w:val="center"/>
              <w:rPr>
                <w:rFonts w:ascii="Times New Roman" w:hAnsi="Times New Roman" w:eastAsia="仿宋" w:cs="仿宋"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设计方案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796D5">
            <w:pPr>
              <w:rPr>
                <w:rFonts w:ascii="Times New Roman" w:hAnsi="Times New Roman" w:eastAsia="仿宋" w:cs="仿宋"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设计方案能有效营造宁静、积极向上的学习氛围，并能体现对考研学子的人文关怀与精神激励；提供全套、清晰的设计效果图（包括整体、局部及重点区域等；视觉呈现专业，能充分、直观地展现最终氛围效果）；方案兼顾施工便利、安全环保及易于后期维护。优</w:t>
            </w:r>
            <w:r>
              <w:rPr>
                <w:rFonts w:ascii="Times New Roman" w:hAnsi="Times New Roman" w:eastAsia="仿宋" w:cs="仿宋"/>
                <w:sz w:val="20"/>
                <w:szCs w:val="20"/>
              </w:rPr>
              <w:t>(21-30</w:t>
            </w: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分</w:t>
            </w:r>
            <w:r>
              <w:rPr>
                <w:rFonts w:ascii="Times New Roman" w:hAnsi="Times New Roman" w:eastAsia="仿宋" w:cs="仿宋"/>
                <w:sz w:val="20"/>
                <w:szCs w:val="20"/>
              </w:rPr>
              <w:t>)</w:t>
            </w: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、良</w:t>
            </w:r>
            <w:r>
              <w:rPr>
                <w:rFonts w:ascii="Times New Roman" w:hAnsi="Times New Roman" w:eastAsia="仿宋" w:cs="仿宋"/>
                <w:sz w:val="20"/>
                <w:szCs w:val="20"/>
              </w:rPr>
              <w:t>(11-20</w:t>
            </w: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分</w:t>
            </w:r>
            <w:r>
              <w:rPr>
                <w:rFonts w:ascii="Times New Roman" w:hAnsi="Times New Roman" w:eastAsia="仿宋" w:cs="仿宋"/>
                <w:sz w:val="20"/>
                <w:szCs w:val="20"/>
              </w:rPr>
              <w:t>)</w:t>
            </w: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、一般</w:t>
            </w:r>
            <w:r>
              <w:rPr>
                <w:rFonts w:ascii="Times New Roman" w:hAnsi="Times New Roman" w:eastAsia="仿宋" w:cs="仿宋"/>
                <w:sz w:val="20"/>
                <w:szCs w:val="20"/>
              </w:rPr>
              <w:t>(1-10</w:t>
            </w: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分</w:t>
            </w:r>
            <w:r>
              <w:rPr>
                <w:rFonts w:ascii="Times New Roman" w:hAnsi="Times New Roman" w:eastAsia="仿宋" w:cs="仿宋"/>
                <w:sz w:val="20"/>
                <w:szCs w:val="20"/>
              </w:rPr>
              <w:t>)</w:t>
            </w: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，不提供方案不得分。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20F84">
            <w:pPr>
              <w:spacing w:line="560" w:lineRule="exact"/>
              <w:ind w:left="-13" w:leftChars="-6"/>
              <w:jc w:val="center"/>
              <w:rPr>
                <w:rFonts w:ascii="Times New Roman" w:hAnsi="Times New Roman" w:eastAsia="仿宋" w:cs="仿宋"/>
                <w:sz w:val="20"/>
                <w:szCs w:val="20"/>
              </w:rPr>
            </w:pPr>
            <w:r>
              <w:rPr>
                <w:rFonts w:ascii="Times New Roman" w:hAnsi="Times New Roman" w:eastAsia="仿宋" w:cs="仿宋"/>
                <w:sz w:val="20"/>
                <w:szCs w:val="20"/>
              </w:rPr>
              <w:t>30</w:t>
            </w:r>
          </w:p>
        </w:tc>
      </w:tr>
      <w:tr w14:paraId="4D26B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A4348">
            <w:pPr>
              <w:spacing w:line="560" w:lineRule="exact"/>
              <w:ind w:left="-13" w:leftChars="-6"/>
              <w:rPr>
                <w:rFonts w:ascii="Times New Roman" w:hAnsi="Times New Roman" w:eastAsia="仿宋" w:cs="仿宋"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服务方案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41FC9">
            <w:pPr>
              <w:rPr>
                <w:rFonts w:ascii="Times New Roman" w:hAnsi="Times New Roman" w:eastAsia="仿宋" w:cs="仿宋"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横向比较，根据服务方案及承诺酌情打分，</w:t>
            </w:r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bidi="ar"/>
              </w:rPr>
              <w:t>优15-20分，良9-14分，一般</w:t>
            </w:r>
            <w:r>
              <w:rPr>
                <w:rFonts w:eastAsia="仿宋" w:cs="宋体"/>
                <w:color w:val="000000"/>
                <w:kern w:val="0"/>
                <w:sz w:val="20"/>
                <w:szCs w:val="20"/>
                <w:lang w:bidi="ar"/>
              </w:rPr>
              <w:t>1-8</w:t>
            </w:r>
            <w:r>
              <w:rPr>
                <w:rFonts w:hint="eastAsia" w:eastAsia="仿宋" w:cs="宋体"/>
                <w:color w:val="000000"/>
                <w:kern w:val="0"/>
                <w:sz w:val="20"/>
                <w:szCs w:val="20"/>
                <w:lang w:bidi="ar"/>
              </w:rPr>
              <w:t>分，不提供不得分</w:t>
            </w: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。服务方案应包括</w:t>
            </w:r>
            <w:r>
              <w:rPr>
                <w:rFonts w:ascii="Times New Roman" w:hAnsi="Times New Roman" w:eastAsia="仿宋" w:cs="仿宋"/>
                <w:sz w:val="20"/>
                <w:szCs w:val="20"/>
              </w:rPr>
              <w:t>:</w:t>
            </w: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响应施工时间承诺、</w:t>
            </w:r>
            <w:r>
              <w:rPr>
                <w:rFonts w:hint="eastAsia" w:ascii="Times New Roman" w:hAnsi="Times New Roman" w:eastAsia="仿宋" w:cs="仿宋"/>
                <w:b w:val="0"/>
                <w:bCs/>
                <w:sz w:val="20"/>
                <w:szCs w:val="20"/>
              </w:rPr>
              <w:t>售后质保</w:t>
            </w:r>
            <w:r>
              <w:rPr>
                <w:rFonts w:hint="eastAsia" w:ascii="Times New Roman" w:hAnsi="Times New Roman" w:eastAsia="仿宋" w:cs="仿宋"/>
                <w:bCs/>
                <w:sz w:val="20"/>
                <w:szCs w:val="20"/>
              </w:rPr>
              <w:t>与</w:t>
            </w:r>
            <w:r>
              <w:rPr>
                <w:rFonts w:hint="eastAsia" w:ascii="Times New Roman" w:hAnsi="Times New Roman" w:eastAsia="仿宋" w:cs="仿宋"/>
                <w:sz w:val="20"/>
                <w:szCs w:val="20"/>
              </w:rPr>
              <w:t>应急响应承诺以及其他专项保护措施。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43AF6">
            <w:pPr>
              <w:spacing w:line="560" w:lineRule="exact"/>
              <w:ind w:left="-13" w:leftChars="-6"/>
              <w:jc w:val="center"/>
              <w:rPr>
                <w:rFonts w:ascii="Times New Roman" w:hAnsi="Times New Roman" w:eastAsia="仿宋" w:cs="仿宋"/>
                <w:sz w:val="20"/>
                <w:szCs w:val="20"/>
              </w:rPr>
            </w:pPr>
            <w:r>
              <w:rPr>
                <w:rFonts w:ascii="Times New Roman" w:hAnsi="Times New Roman" w:eastAsia="仿宋" w:cs="仿宋"/>
                <w:sz w:val="20"/>
                <w:szCs w:val="20"/>
              </w:rPr>
              <w:t>20</w:t>
            </w:r>
          </w:p>
        </w:tc>
      </w:tr>
    </w:tbl>
    <w:p w14:paraId="012D0D89">
      <w:pPr>
        <w:widowControl/>
        <w:shd w:val="clear" w:color="auto" w:fill="FFFFFF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本次评标采用综合评分法，总分为</w:t>
      </w:r>
      <w:r>
        <w:rPr>
          <w:rFonts w:eastAsia="仿宋_GB2312"/>
          <w:sz w:val="32"/>
          <w:szCs w:val="32"/>
        </w:rPr>
        <w:t>100</w:t>
      </w:r>
      <w:r>
        <w:rPr>
          <w:rFonts w:hint="eastAsia" w:ascii="Times New Roman" w:hAnsi="Times New Roman" w:eastAsia="仿宋_GB2312" w:cs="仿宋_GB2312"/>
          <w:sz w:val="32"/>
          <w:szCs w:val="32"/>
        </w:rPr>
        <w:t>分，计算结果保留两位数。中标候选资格按综合得分由高到低顺序排列，得分相同的，则按</w:t>
      </w:r>
      <w:r>
        <w:rPr>
          <w:rFonts w:hint="eastAsia" w:eastAsia="仿宋_GB2312"/>
          <w:sz w:val="32"/>
          <w:szCs w:val="32"/>
        </w:rPr>
        <w:t>价格</w:t>
      </w:r>
      <w:r>
        <w:rPr>
          <w:rFonts w:hint="eastAsia" w:ascii="Times New Roman" w:hAnsi="Times New Roman" w:eastAsia="仿宋_GB2312" w:cs="仿宋_GB2312"/>
          <w:sz w:val="32"/>
          <w:szCs w:val="32"/>
        </w:rPr>
        <w:t>分由高到低确定排名。</w:t>
      </w:r>
    </w:p>
    <w:p w14:paraId="5331C355">
      <w:pPr>
        <w:rPr>
          <w:rFonts w:ascii="Times New Roman" w:hAnsi="Times New Roman" w:eastAsia="仿宋_GB2312" w:cs="仿宋_GB2312"/>
          <w:sz w:val="32"/>
          <w:szCs w:val="32"/>
        </w:rPr>
      </w:pPr>
    </w:p>
    <w:sectPr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30"/>
    <w:rsid w:val="00030C41"/>
    <w:rsid w:val="00055833"/>
    <w:rsid w:val="00097C80"/>
    <w:rsid w:val="00127F84"/>
    <w:rsid w:val="001455AA"/>
    <w:rsid w:val="002F4154"/>
    <w:rsid w:val="002F48B9"/>
    <w:rsid w:val="004B12D5"/>
    <w:rsid w:val="004C48C0"/>
    <w:rsid w:val="0080030D"/>
    <w:rsid w:val="00814E41"/>
    <w:rsid w:val="00827733"/>
    <w:rsid w:val="00B05281"/>
    <w:rsid w:val="00B10C11"/>
    <w:rsid w:val="00CD30FA"/>
    <w:rsid w:val="00E77F30"/>
    <w:rsid w:val="00EC1B98"/>
    <w:rsid w:val="00FD5A99"/>
    <w:rsid w:val="0B907F82"/>
    <w:rsid w:val="0BE6480D"/>
    <w:rsid w:val="0ED71E7B"/>
    <w:rsid w:val="129C720C"/>
    <w:rsid w:val="19204742"/>
    <w:rsid w:val="29C96748"/>
    <w:rsid w:val="37E159E6"/>
    <w:rsid w:val="3BD80A06"/>
    <w:rsid w:val="40B97058"/>
    <w:rsid w:val="43CE1B59"/>
    <w:rsid w:val="44811D41"/>
    <w:rsid w:val="44D43AEA"/>
    <w:rsid w:val="4BD42B54"/>
    <w:rsid w:val="52CE54C2"/>
    <w:rsid w:val="567E0379"/>
    <w:rsid w:val="5EEB2A2E"/>
    <w:rsid w:val="605609A5"/>
    <w:rsid w:val="63BD210C"/>
    <w:rsid w:val="64F6446C"/>
    <w:rsid w:val="70934DCC"/>
    <w:rsid w:val="73BB0416"/>
    <w:rsid w:val="74FB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1122</Words>
  <Characters>1210</Characters>
  <Lines>13</Lines>
  <Paragraphs>3</Paragraphs>
  <TotalTime>12</TotalTime>
  <ScaleCrop>false</ScaleCrop>
  <LinksUpToDate>false</LinksUpToDate>
  <CharactersWithSpaces>1211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2025-11-19T08:40:00Z</dcterms:created>
  <dc:creator>ZDH</dc:creator>
  <cp:lastModifiedBy>安好~天晴</cp:lastModifiedBy>
  <cp:lastPrinted>2025-11-24T06:31:00Z</cp:lastPrinted>
  <dcterms:modified xsi:type="dcterms:W3CDTF">2025-11-25T05:53:13Z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eyJoZGlkIjoiYzIyMzJhMGYyNjczMTU2Nzc3MWEwYjBmZjI2N2ExM2MiLCJ1c2VySWQiOiI2NDMzNTgxODgifQ==</vt:lpwstr>
  </property>
  <property fmtid="{D5CDD505-2E9C-101B-9397-08002B2CF9AE}" pid="4" name="ICV">
    <vt:lpwstr>080D4BDBC4554487B0BFD67E084BFF5D_13</vt:lpwstr>
  </property>
</Properties>
</file>