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C1354">
      <w:pPr>
        <w:jc w:val="center"/>
        <w:rPr>
          <w:rFonts w:hint="eastAsia" w:ascii="方正公文小标宋" w:hAnsi="方正公文小标宋" w:eastAsia="方正公文小标宋"/>
          <w:b/>
          <w:bCs/>
          <w:sz w:val="30"/>
          <w:szCs w:val="30"/>
        </w:rPr>
      </w:pPr>
      <w:r>
        <w:rPr>
          <w:rFonts w:hint="eastAsia" w:ascii="方正公文小标宋" w:hAnsi="方正公文小标宋" w:eastAsia="方正公文小标宋"/>
          <w:b/>
          <w:bCs/>
          <w:sz w:val="44"/>
          <w:szCs w:val="44"/>
        </w:rPr>
        <w:t>南京师范大学中北学院图书馆</w:t>
      </w:r>
      <w:bookmarkStart w:id="0" w:name="_Hlk198286544"/>
      <w:r>
        <w:rPr>
          <w:rFonts w:hint="eastAsia" w:ascii="方正公文小标宋" w:hAnsi="方正公文小标宋" w:eastAsia="方正公文小标宋"/>
          <w:b/>
          <w:bCs/>
          <w:sz w:val="44"/>
          <w:szCs w:val="44"/>
        </w:rPr>
        <w:t>中庭微景观</w:t>
      </w:r>
      <w:bookmarkEnd w:id="0"/>
      <w:r>
        <w:rPr>
          <w:rFonts w:hint="eastAsia" w:ascii="方正公文小标宋" w:hAnsi="方正公文小标宋" w:eastAsia="方正公文小标宋"/>
          <w:b/>
          <w:bCs/>
          <w:sz w:val="44"/>
          <w:szCs w:val="44"/>
        </w:rPr>
        <w:t>优化项目采购文件</w:t>
      </w:r>
    </w:p>
    <w:p w14:paraId="0C8E218F">
      <w:pPr>
        <w:spacing w:after="12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一、项目概况</w:t>
      </w:r>
    </w:p>
    <w:p w14:paraId="43AA2C96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1.项目名称：图书馆中庭微景观优化项目</w:t>
      </w:r>
    </w:p>
    <w:p w14:paraId="727D54D3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2.项目地点：南京师范大学中北学院图书馆</w:t>
      </w:r>
    </w:p>
    <w:p w14:paraId="4D2C16CA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3.采购内容：包括但不限于本项目设计、材料采购、运输、安装、验收及质保期内的全部服务。具体内容详见第三条“项目需求”。</w:t>
      </w:r>
    </w:p>
    <w:p w14:paraId="2F733234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4.预算金额：85000元</w:t>
      </w:r>
    </w:p>
    <w:p w14:paraId="1DC4CD9A">
      <w:pPr>
        <w:spacing w:after="0" w:line="600" w:lineRule="exact"/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5.项目工期：18天内完成</w:t>
      </w:r>
    </w:p>
    <w:p w14:paraId="7159C12A">
      <w:pPr>
        <w:spacing w:before="120" w:after="12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二、资质与安全要求</w:t>
      </w:r>
    </w:p>
    <w:p w14:paraId="1B546504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1.具备独立法人资格及有效的营业执照，经营范围包含但不限于建筑工程施工等内容。</w:t>
      </w:r>
    </w:p>
    <w:p w14:paraId="099F886D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2.特种作业人员要求：</w:t>
      </w:r>
    </w:p>
    <w:p w14:paraId="48417678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（1）凡涉及高空作业的人员（如：墙面涂料施工、灯光轨道安装、顶部景观安装等），必须持有有效的“高处作业”特种作业操作证。</w:t>
      </w:r>
    </w:p>
    <w:p w14:paraId="126AAE44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（2）电工必须持有有效的“电工作业”特种作业操作证。</w:t>
      </w:r>
    </w:p>
    <w:p w14:paraId="21AC23EC">
      <w:pPr>
        <w:spacing w:after="0"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3.施工单位为施工现场安全的唯一责任主体，对一切安全事故承担全部法律责任和经济损失。</w:t>
      </w:r>
    </w:p>
    <w:p w14:paraId="63EAD792">
      <w:pPr>
        <w:spacing w:before="120" w:after="120"/>
        <w:rPr>
          <w:rFonts w:hint="eastAsia" w:ascii="黑体" w:hAnsi="黑体" w:eastAsia="黑体" w:cs="黑体"/>
          <w:b/>
          <w:bCs/>
          <w:sz w:val="28"/>
          <w:szCs w:val="28"/>
        </w:rPr>
      </w:pPr>
      <w:bookmarkStart w:id="1" w:name="OLE_LINK4"/>
      <w:r>
        <w:rPr>
          <w:rFonts w:hint="eastAsia" w:ascii="黑体" w:hAnsi="黑体" w:eastAsia="黑体" w:cs="黑体"/>
          <w:b/>
          <w:bCs/>
          <w:sz w:val="28"/>
          <w:szCs w:val="28"/>
        </w:rPr>
        <w:t>三、项目需求</w:t>
      </w:r>
    </w:p>
    <w:bookmarkEnd w:id="1"/>
    <w:p w14:paraId="435CD6C7">
      <w:pPr>
        <w:spacing w:after="0" w:line="24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1.采购内容及要求</w:t>
      </w:r>
    </w:p>
    <w:tbl>
      <w:tblPr>
        <w:tblStyle w:val="18"/>
        <w:tblW w:w="8819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3168"/>
        <w:gridCol w:w="4857"/>
      </w:tblGrid>
      <w:tr w14:paraId="0D568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94" w:type="dxa"/>
            <w:vAlign w:val="center"/>
          </w:tcPr>
          <w:p w14:paraId="5BA868DB">
            <w:pPr>
              <w:pStyle w:val="11"/>
              <w:spacing w:after="0" w:line="240" w:lineRule="auto"/>
              <w:ind w:left="0" w:leftChars="0"/>
              <w:jc w:val="center"/>
              <w:rPr>
                <w:rFonts w:hint="eastAsia" w:ascii="方正小标宋简体" w:hAnsi="方正小标宋简体" w:eastAsia="方正小标宋简体"/>
              </w:rPr>
            </w:pPr>
            <w:r>
              <w:rPr>
                <w:rFonts w:hint="eastAsia" w:ascii="方正小标宋简体" w:hAnsi="方正小标宋简体" w:eastAsia="方正小标宋简体"/>
              </w:rPr>
              <w:t>序号</w:t>
            </w:r>
          </w:p>
        </w:tc>
        <w:tc>
          <w:tcPr>
            <w:tcW w:w="3168" w:type="dxa"/>
            <w:vAlign w:val="center"/>
          </w:tcPr>
          <w:p w14:paraId="66CB8E38">
            <w:pPr>
              <w:pStyle w:val="11"/>
              <w:spacing w:after="0" w:line="240" w:lineRule="auto"/>
              <w:ind w:left="0" w:leftChars="0"/>
              <w:jc w:val="center"/>
              <w:rPr>
                <w:rFonts w:hint="eastAsia" w:ascii="方正小标宋简体" w:hAnsi="方正小标宋简体" w:eastAsia="方正小标宋简体"/>
              </w:rPr>
            </w:pPr>
            <w:r>
              <w:rPr>
                <w:rFonts w:hint="eastAsia" w:ascii="方正小标宋简体" w:hAnsi="方正小标宋简体" w:eastAsia="方正小标宋简体"/>
              </w:rPr>
              <w:t>项目名称</w:t>
            </w:r>
          </w:p>
        </w:tc>
        <w:tc>
          <w:tcPr>
            <w:tcW w:w="4857" w:type="dxa"/>
            <w:vAlign w:val="center"/>
          </w:tcPr>
          <w:p w14:paraId="2A1BF36E">
            <w:pPr>
              <w:pStyle w:val="11"/>
              <w:spacing w:after="0" w:line="240" w:lineRule="auto"/>
              <w:ind w:left="0" w:leftChars="0"/>
              <w:jc w:val="center"/>
              <w:rPr>
                <w:rFonts w:hint="eastAsia" w:ascii="方正小标宋简体" w:hAnsi="方正小标宋简体" w:eastAsia="方正小标宋简体"/>
              </w:rPr>
            </w:pPr>
            <w:r>
              <w:rPr>
                <w:rFonts w:hint="eastAsia" w:ascii="方正小标宋简体" w:hAnsi="方正小标宋简体" w:eastAsia="方正小标宋简体"/>
              </w:rPr>
              <w:t>要求</w:t>
            </w:r>
          </w:p>
        </w:tc>
      </w:tr>
      <w:tr w14:paraId="093C2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</w:trPr>
        <w:tc>
          <w:tcPr>
            <w:tcW w:w="794" w:type="dxa"/>
            <w:vMerge w:val="restart"/>
            <w:vAlign w:val="center"/>
          </w:tcPr>
          <w:p w14:paraId="4C18552F">
            <w:pPr>
              <w:pStyle w:val="11"/>
              <w:spacing w:after="0"/>
              <w:ind w:left="0" w:left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3168" w:type="dxa"/>
            <w:vMerge w:val="restart"/>
            <w:vAlign w:val="center"/>
          </w:tcPr>
          <w:p w14:paraId="5C88BD12">
            <w:pPr>
              <w:pStyle w:val="11"/>
              <w:spacing w:after="0"/>
              <w:ind w:left="0" w:left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中庭原墙面出新（乳白色）</w:t>
            </w:r>
          </w:p>
          <w:p w14:paraId="04CA42F2">
            <w:pPr>
              <w:jc w:val="center"/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（南墙、北墙）</w:t>
            </w:r>
          </w:p>
        </w:tc>
        <w:tc>
          <w:tcPr>
            <w:tcW w:w="4857" w:type="dxa"/>
            <w:vMerge w:val="restart"/>
            <w:vAlign w:val="center"/>
          </w:tcPr>
          <w:p w14:paraId="5E76E480">
            <w:pPr>
              <w:pStyle w:val="11"/>
              <w:spacing w:after="0"/>
              <w:ind w:left="0" w:leftChars="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1.墙固、腻子、乳胶漆：品牌要求国内外知名品牌（如立邦、多乐士、三棵树等同等或以上级别）；环保等级必须符合国家GB18582-2020《建筑用墙面涂料中有害物质限量》标准，</w:t>
            </w:r>
            <w:r>
              <w:rPr>
                <w:rFonts w:ascii="仿宋_GB2312" w:eastAsia="仿宋_GB2312"/>
                <w:sz w:val="24"/>
              </w:rPr>
              <w:t>确保无毒无害（符合</w:t>
            </w:r>
            <w:r>
              <w:rPr>
                <w:rFonts w:hint="eastAsia" w:ascii="仿宋_GB2312" w:eastAsia="仿宋_GB2312"/>
                <w:sz w:val="24"/>
              </w:rPr>
              <w:t>中国环境标志（十环认证）、</w:t>
            </w:r>
            <w:r>
              <w:rPr>
                <w:rFonts w:ascii="仿宋_GB2312" w:eastAsia="仿宋_GB2312"/>
                <w:sz w:val="24"/>
              </w:rPr>
              <w:t>法国A+等）</w:t>
            </w:r>
            <w:r>
              <w:rPr>
                <w:rFonts w:hint="eastAsia" w:ascii="仿宋_GB2312" w:eastAsia="仿宋_GB2312"/>
                <w:sz w:val="24"/>
              </w:rPr>
              <w:t>；</w:t>
            </w:r>
          </w:p>
          <w:p w14:paraId="1228F13F">
            <w:pPr>
              <w:pStyle w:val="11"/>
              <w:spacing w:after="0"/>
              <w:ind w:left="0" w:leftChars="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2.最终颜色以甲方确认的色卡为准；</w:t>
            </w:r>
          </w:p>
          <w:p w14:paraId="47BBC332">
            <w:pPr>
              <w:rPr>
                <w:rFonts w:hint="eastAsia"/>
              </w:rPr>
            </w:pPr>
            <w:r>
              <w:rPr>
                <w:rFonts w:hint="eastAsia" w:ascii="仿宋_GB2312" w:eastAsia="仿宋_GB2312"/>
                <w:sz w:val="24"/>
              </w:rPr>
              <w:t>3.确保墙面平整度，以确保景观设计安装与墙面贴合度高。</w:t>
            </w:r>
          </w:p>
        </w:tc>
      </w:tr>
      <w:tr w14:paraId="15A7A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794" w:type="dxa"/>
            <w:vMerge w:val="continue"/>
            <w:vAlign w:val="center"/>
          </w:tcPr>
          <w:p w14:paraId="64FDE9DF">
            <w:pPr>
              <w:pStyle w:val="11"/>
              <w:spacing w:after="0"/>
              <w:ind w:left="0" w:left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168" w:type="dxa"/>
            <w:vMerge w:val="continue"/>
            <w:vAlign w:val="center"/>
          </w:tcPr>
          <w:p w14:paraId="7C01EAAC">
            <w:pPr>
              <w:pStyle w:val="11"/>
              <w:spacing w:after="0"/>
              <w:ind w:left="0" w:left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857" w:type="dxa"/>
            <w:vMerge w:val="continue"/>
            <w:vAlign w:val="center"/>
          </w:tcPr>
          <w:p w14:paraId="7094C071">
            <w:pPr>
              <w:pStyle w:val="11"/>
              <w:spacing w:after="0"/>
              <w:ind w:left="0" w:leftChars="0"/>
              <w:rPr>
                <w:rFonts w:hint="eastAsia" w:ascii="仿宋_GB2312" w:eastAsia="仿宋_GB2312"/>
                <w:sz w:val="24"/>
              </w:rPr>
            </w:pPr>
          </w:p>
        </w:tc>
      </w:tr>
      <w:tr w14:paraId="791AF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794" w:type="dxa"/>
            <w:vAlign w:val="center"/>
          </w:tcPr>
          <w:p w14:paraId="5BE16F08">
            <w:pPr>
              <w:pStyle w:val="11"/>
              <w:spacing w:after="0"/>
              <w:ind w:left="0" w:left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</w:p>
        </w:tc>
        <w:tc>
          <w:tcPr>
            <w:tcW w:w="3168" w:type="dxa"/>
            <w:vAlign w:val="center"/>
          </w:tcPr>
          <w:p w14:paraId="726D7A7E">
            <w:pPr>
              <w:pStyle w:val="11"/>
              <w:spacing w:after="0"/>
              <w:ind w:left="0" w:left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微景观设计</w:t>
            </w:r>
          </w:p>
          <w:p w14:paraId="6D0125E3">
            <w:pPr>
              <w:jc w:val="center"/>
              <w:rPr>
                <w:rFonts w:hint="eastAsia"/>
              </w:rPr>
            </w:pPr>
            <w:r>
              <w:rPr>
                <w:rFonts w:hint="eastAsia" w:eastAsia="仿宋_GB2312"/>
              </w:rPr>
              <w:t>（南墙、北墙）</w:t>
            </w:r>
          </w:p>
        </w:tc>
        <w:tc>
          <w:tcPr>
            <w:tcW w:w="4857" w:type="dxa"/>
            <w:vAlign w:val="center"/>
          </w:tcPr>
          <w:p w14:paraId="601767E1">
            <w:pPr>
              <w:pStyle w:val="11"/>
              <w:spacing w:after="0"/>
              <w:ind w:left="0" w:leftChars="0"/>
              <w:jc w:val="both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1.设计</w:t>
            </w:r>
            <w:r>
              <w:rPr>
                <w:rFonts w:ascii="仿宋_GB2312" w:eastAsia="仿宋_GB2312"/>
                <w:sz w:val="24"/>
              </w:rPr>
              <w:t>主题定位：打造一个</w:t>
            </w:r>
            <w:r>
              <w:rPr>
                <w:rFonts w:hint="eastAsia" w:ascii="仿宋_GB2312" w:eastAsia="仿宋_GB2312"/>
                <w:sz w:val="24"/>
              </w:rPr>
              <w:t>“</w:t>
            </w:r>
            <w:r>
              <w:rPr>
                <w:rFonts w:ascii="仿宋_GB2312" w:eastAsia="仿宋_GB2312"/>
                <w:sz w:val="24"/>
              </w:rPr>
              <w:t>静阅</w:t>
            </w:r>
            <w:r>
              <w:rPr>
                <w:rFonts w:hint="eastAsia" w:ascii="仿宋_GB2312" w:eastAsia="仿宋_GB2312"/>
                <w:sz w:val="24"/>
              </w:rPr>
              <w:t>·</w:t>
            </w:r>
            <w:r>
              <w:rPr>
                <w:rFonts w:ascii="仿宋_GB2312" w:eastAsia="仿宋_GB2312"/>
                <w:sz w:val="24"/>
              </w:rPr>
              <w:t>绿意</w:t>
            </w:r>
            <w:r>
              <w:rPr>
                <w:rFonts w:hint="eastAsia" w:ascii="仿宋_GB2312" w:eastAsia="仿宋_GB2312"/>
                <w:sz w:val="24"/>
              </w:rPr>
              <w:t>·</w:t>
            </w:r>
            <w:r>
              <w:rPr>
                <w:rFonts w:ascii="仿宋_GB2312" w:eastAsia="仿宋_GB2312"/>
                <w:sz w:val="24"/>
              </w:rPr>
              <w:t>书香</w:t>
            </w:r>
            <w:r>
              <w:rPr>
                <w:rFonts w:hint="eastAsia" w:ascii="仿宋_GB2312" w:eastAsia="仿宋_GB2312"/>
                <w:sz w:val="24"/>
              </w:rPr>
              <w:t>”</w:t>
            </w:r>
            <w:r>
              <w:rPr>
                <w:rFonts w:ascii="仿宋_GB2312" w:eastAsia="仿宋_GB2312"/>
                <w:sz w:val="24"/>
              </w:rPr>
              <w:t>于一体的沉浸式</w:t>
            </w:r>
            <w:r>
              <w:rPr>
                <w:rFonts w:hint="eastAsia" w:ascii="仿宋_GB2312" w:eastAsia="仿宋_GB2312"/>
                <w:sz w:val="24"/>
              </w:rPr>
              <w:t>阅读空间</w:t>
            </w:r>
            <w:r>
              <w:rPr>
                <w:rFonts w:ascii="仿宋_GB2312" w:eastAsia="仿宋_GB2312"/>
                <w:sz w:val="24"/>
              </w:rPr>
              <w:t>。设计需融合</w:t>
            </w:r>
            <w:r>
              <w:rPr>
                <w:rFonts w:hint="eastAsia" w:ascii="仿宋_GB2312" w:eastAsia="仿宋_GB2312"/>
                <w:sz w:val="24"/>
              </w:rPr>
              <w:t>学校特色、</w:t>
            </w:r>
            <w:r>
              <w:rPr>
                <w:rFonts w:ascii="仿宋_GB2312" w:eastAsia="仿宋_GB2312"/>
                <w:sz w:val="24"/>
              </w:rPr>
              <w:t>图书馆</w:t>
            </w:r>
            <w:r>
              <w:rPr>
                <w:rFonts w:hint="eastAsia" w:ascii="仿宋_GB2312" w:eastAsia="仿宋_GB2312"/>
                <w:sz w:val="24"/>
              </w:rPr>
              <w:t>阅读文化</w:t>
            </w:r>
            <w:r>
              <w:rPr>
                <w:rFonts w:ascii="仿宋_GB2312" w:eastAsia="仿宋_GB2312"/>
                <w:sz w:val="24"/>
              </w:rPr>
              <w:t>氛围与自然生态的静谧美感，营造一个能让人驻足、思考、放松的</w:t>
            </w:r>
            <w:r>
              <w:rPr>
                <w:rFonts w:hint="eastAsia" w:ascii="仿宋_GB2312" w:eastAsia="仿宋_GB2312"/>
                <w:sz w:val="24"/>
              </w:rPr>
              <w:t>学习</w:t>
            </w:r>
            <w:r>
              <w:rPr>
                <w:rFonts w:ascii="仿宋_GB2312" w:eastAsia="仿宋_GB2312"/>
                <w:sz w:val="24"/>
              </w:rPr>
              <w:t>栖息地</w:t>
            </w:r>
            <w:r>
              <w:rPr>
                <w:rFonts w:hint="eastAsia" w:ascii="仿宋_GB2312" w:eastAsia="仿宋_GB2312"/>
                <w:sz w:val="24"/>
              </w:rPr>
              <w:t>；</w:t>
            </w:r>
          </w:p>
          <w:p w14:paraId="7CF90AA9">
            <w:pPr>
              <w:rPr>
                <w:rFonts w:hint="eastAsia"/>
              </w:rPr>
            </w:pPr>
            <w:r>
              <w:rPr>
                <w:rFonts w:hint="eastAsia" w:ascii="仿宋_GB2312" w:eastAsia="仿宋_GB2312"/>
                <w:sz w:val="24"/>
              </w:rPr>
              <w:t>2.</w:t>
            </w:r>
            <w:r>
              <w:rPr>
                <w:rFonts w:ascii="仿宋_GB2312" w:eastAsia="仿宋_GB2312"/>
                <w:sz w:val="24"/>
              </w:rPr>
              <w:t>品质与性能要求：所有材料必须符合国家相关环保标准，并提供必要的检测报告。</w:t>
            </w:r>
            <w:r>
              <w:rPr>
                <w:rFonts w:hint="eastAsia" w:ascii="仿宋_GB2312" w:eastAsia="仿宋_GB2312"/>
                <w:sz w:val="24"/>
              </w:rPr>
              <w:t>主要</w:t>
            </w:r>
            <w:r>
              <w:rPr>
                <w:rFonts w:ascii="仿宋_GB2312" w:eastAsia="仿宋_GB2312"/>
                <w:sz w:val="24"/>
              </w:rPr>
              <w:t>材料（如</w:t>
            </w:r>
            <w:r>
              <w:rPr>
                <w:rFonts w:hint="eastAsia" w:ascii="仿宋_GB2312" w:eastAsia="仿宋_GB2312"/>
                <w:sz w:val="24"/>
              </w:rPr>
              <w:t>有</w:t>
            </w:r>
            <w:r>
              <w:rPr>
                <w:rFonts w:ascii="仿宋_GB2312" w:eastAsia="仿宋_GB2312"/>
                <w:sz w:val="24"/>
              </w:rPr>
              <w:t>仿真植物、永生苔藓）须具备抗紫外线（UV）能力，确保在室内光线下长期不褪色、不变形</w:t>
            </w:r>
            <w:r>
              <w:rPr>
                <w:rFonts w:hint="eastAsia" w:ascii="仿宋_GB2312" w:eastAsia="仿宋_GB2312"/>
                <w:sz w:val="24"/>
              </w:rPr>
              <w:t>；</w:t>
            </w:r>
            <w:r>
              <w:rPr>
                <w:rFonts w:ascii="仿宋_GB2312" w:eastAsia="仿宋_GB2312"/>
                <w:sz w:val="24"/>
              </w:rPr>
              <w:t>材料须具备阻燃特性，至少达到B1级难燃标准。</w:t>
            </w:r>
          </w:p>
        </w:tc>
      </w:tr>
      <w:tr w14:paraId="253EE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1" w:hRule="atLeast"/>
        </w:trPr>
        <w:tc>
          <w:tcPr>
            <w:tcW w:w="794" w:type="dxa"/>
            <w:vAlign w:val="center"/>
          </w:tcPr>
          <w:p w14:paraId="19EDE4AD">
            <w:pPr>
              <w:pStyle w:val="11"/>
              <w:spacing w:after="0"/>
              <w:ind w:left="0" w:left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  <w:tc>
          <w:tcPr>
            <w:tcW w:w="3168" w:type="dxa"/>
            <w:vAlign w:val="center"/>
          </w:tcPr>
          <w:p w14:paraId="566A706D">
            <w:pPr>
              <w:pStyle w:val="11"/>
              <w:spacing w:after="0"/>
              <w:ind w:left="0" w:left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辅助照明系统</w:t>
            </w:r>
          </w:p>
          <w:p w14:paraId="4C67EC8C">
            <w:pPr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sz w:val="24"/>
              </w:rPr>
              <w:t>（参考）</w:t>
            </w:r>
          </w:p>
        </w:tc>
        <w:tc>
          <w:tcPr>
            <w:tcW w:w="4857" w:type="dxa"/>
            <w:vAlign w:val="center"/>
          </w:tcPr>
          <w:p w14:paraId="49EAA6BA">
            <w:pPr>
              <w:pStyle w:val="11"/>
              <w:spacing w:after="0"/>
              <w:ind w:left="0" w:leftChars="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1.轨道及所有灯具必须符合国家强制性产品认证（CCC认证）及电器安全标准；</w:t>
            </w:r>
          </w:p>
          <w:p w14:paraId="4A0B0EAD">
            <w:pPr>
              <w:pStyle w:val="11"/>
              <w:spacing w:after="0"/>
              <w:ind w:left="0" w:leftChars="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射灯：须采用国内外知名品牌（如西顿照明、雷士照明、三雄极光、欧普照明）；显色指数Ra≥95，确保能最真实地还原材料原本色彩；色温(CCT)：3000K（暖白光）或3500K（中性白），具体选择由甲方根据最终设计氛围确定，响应供应商需承诺可提供指定色温产品。</w:t>
            </w:r>
          </w:p>
        </w:tc>
      </w:tr>
    </w:tbl>
    <w:p w14:paraId="79FB02B5">
      <w:pPr>
        <w:numPr>
          <w:ilvl w:val="0"/>
          <w:numId w:val="1"/>
        </w:numPr>
        <w:spacing w:after="0" w:line="24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施工方案</w:t>
      </w:r>
    </w:p>
    <w:p w14:paraId="2DA3CC52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color w:val="C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C00000"/>
          <w:sz w:val="28"/>
          <w:szCs w:val="28"/>
        </w:rPr>
        <w:t>本项目响应供应商须至现场勘察确认，请在11月7（星期五）17:00前联系赵楠，联系电话15062257322。</w:t>
      </w:r>
    </w:p>
    <w:p w14:paraId="7FE23549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提供施工图纸及详细方案（含墙面处理、制作工艺、工期计划）；</w:t>
      </w:r>
    </w:p>
    <w:p w14:paraId="24232702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施工前所有材料需甲方验收合格后方可施工；</w:t>
      </w:r>
    </w:p>
    <w:p w14:paraId="739C4A5F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墙面改造需结合建筑结构、使用功能及美观性要求；</w:t>
      </w:r>
    </w:p>
    <w:p w14:paraId="4DDE05C3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施工过程中应仔细检验，确保安装误差不超过2cm;</w:t>
      </w:r>
    </w:p>
    <w:p w14:paraId="598FEF5E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施工时应以最严格的标准，保证中庭微景观图案和色彩的完整性和一致性;</w:t>
      </w:r>
    </w:p>
    <w:p w14:paraId="01DEC7B6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施工完成后，必须认真检查每一个细节，确保最终效果符合预期。</w:t>
      </w:r>
    </w:p>
    <w:p w14:paraId="5AA04D6F">
      <w:pPr>
        <w:spacing w:after="12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四、评分指标</w:t>
      </w:r>
    </w:p>
    <w:tbl>
      <w:tblPr>
        <w:tblStyle w:val="17"/>
        <w:tblW w:w="8640" w:type="dxa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6598"/>
        <w:gridCol w:w="810"/>
      </w:tblGrid>
      <w:tr w14:paraId="0459B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77DA2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评分指标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B8652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评分细则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CC2CC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分值</w:t>
            </w:r>
          </w:p>
        </w:tc>
      </w:tr>
      <w:tr w14:paraId="6CEAB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21AF0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价格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02A98">
            <w:pPr>
              <w:spacing w:after="0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满足采购文件要求且最低报价为基准价，其价格分为50分。供应商的价格分统一按照下列公式计算：报价得分=(基准价／报价)×50。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EC364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50</w:t>
            </w:r>
          </w:p>
        </w:tc>
      </w:tr>
      <w:tr w14:paraId="43FA2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2EEB5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设计方案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C56B8">
            <w:pPr>
              <w:spacing w:after="0"/>
              <w:rPr>
                <w:rFonts w:hint="default" w:ascii="仿宋_GB2312" w:eastAsia="仿宋_GB2312" w:hAnsiTheme="minorEastAsia" w:cstheme="minorEastAsia"/>
                <w:sz w:val="24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横向比较，根据设计方案酌情打分，优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31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-40分，良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21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-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30</w:t>
            </w:r>
          </w:p>
          <w:p w14:paraId="06F796D5">
            <w:pPr>
              <w:spacing w:after="0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分，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中11-20，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一般1-1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0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分，不提供不得分。设计内容需展现学校形象及图书馆文化氛围。内容应包括但不限于设计效果图、具体尺寸等内容。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20F84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40</w:t>
            </w:r>
          </w:p>
        </w:tc>
      </w:tr>
      <w:tr w14:paraId="4D26B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A4348">
            <w:pPr>
              <w:spacing w:line="560" w:lineRule="exact"/>
              <w:ind w:left="-13" w:leftChars="-6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服务方案</w:t>
            </w:r>
          </w:p>
        </w:tc>
        <w:tc>
          <w:tcPr>
            <w:tcW w:w="6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41FC9">
            <w:pPr>
              <w:spacing w:after="0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ascii="仿宋_GB2312" w:eastAsia="仿宋_GB2312" w:hAnsiTheme="minorEastAsia" w:cstheme="minorEastAsia"/>
                <w:sz w:val="24"/>
              </w:rPr>
              <w:t>横向比较，根据服务方案及承诺酌情打分，优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8</w:t>
            </w:r>
            <w:r>
              <w:rPr>
                <w:rFonts w:ascii="仿宋_GB2312" w:eastAsia="仿宋_GB2312" w:hAnsiTheme="minorEastAsia" w:cstheme="minorEastAsia"/>
                <w:sz w:val="24"/>
              </w:rPr>
              <w:t>-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10</w:t>
            </w:r>
            <w:r>
              <w:rPr>
                <w:rFonts w:ascii="仿宋_GB2312" w:eastAsia="仿宋_GB2312" w:hAnsiTheme="minorEastAsia" w:cstheme="minorEastAsia"/>
                <w:sz w:val="24"/>
              </w:rPr>
              <w:t>分，良</w:t>
            </w:r>
            <w:r>
              <w:rPr>
                <w:rFonts w:ascii="仿宋_GB2312" w:eastAsia="仿宋_GB2312" w:hAnsiTheme="minorEastAsia" w:cstheme="minorEastAsia"/>
                <w:sz w:val="24"/>
              </w:rPr>
              <w:br w:type="textWrapping"/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4</w:t>
            </w:r>
            <w:r>
              <w:rPr>
                <w:rFonts w:ascii="仿宋_GB2312" w:eastAsia="仿宋_GB2312" w:hAnsiTheme="minorEastAsia" w:cstheme="minorEastAsia"/>
                <w:sz w:val="24"/>
              </w:rPr>
              <w:t>-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7</w:t>
            </w:r>
            <w:r>
              <w:rPr>
                <w:rFonts w:ascii="仿宋_GB2312" w:eastAsia="仿宋_GB2312" w:hAnsiTheme="minorEastAsia" w:cstheme="minorEastAsia"/>
                <w:sz w:val="24"/>
              </w:rPr>
              <w:t>分，一般1-</w:t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3</w:t>
            </w:r>
            <w:r>
              <w:rPr>
                <w:rFonts w:ascii="仿宋_GB2312" w:eastAsia="仿宋_GB2312" w:hAnsiTheme="minorEastAsia" w:cstheme="minorEastAsia"/>
                <w:sz w:val="24"/>
              </w:rPr>
              <w:t>分，不提供不得分。服务方案应包括:</w:t>
            </w:r>
            <w:r>
              <w:rPr>
                <w:rFonts w:ascii="仿宋_GB2312" w:eastAsia="仿宋_GB2312" w:hAnsiTheme="minorEastAsia" w:cstheme="minorEastAsia"/>
                <w:sz w:val="24"/>
              </w:rPr>
              <w:br w:type="textWrapping"/>
            </w:r>
            <w:r>
              <w:rPr>
                <w:rFonts w:hint="eastAsia" w:ascii="仿宋_GB2312" w:eastAsia="仿宋_GB2312" w:hAnsiTheme="minorEastAsia" w:cstheme="minorEastAsia"/>
                <w:sz w:val="24"/>
              </w:rPr>
              <w:t>响应</w:t>
            </w:r>
            <w:r>
              <w:rPr>
                <w:rFonts w:hint="eastAsia" w:ascii="仿宋_GB2312" w:eastAsia="仿宋_GB2312" w:hAnsiTheme="minorEastAsia" w:cstheme="minorEastAsia"/>
                <w:sz w:val="24"/>
                <w:lang w:val="en-US" w:eastAsia="zh-CN"/>
              </w:rPr>
              <w:t>施工时间承诺、售后质保与应急响应承诺以及其他专项保护措施</w:t>
            </w:r>
            <w:r>
              <w:rPr>
                <w:rFonts w:ascii="仿宋_GB2312" w:eastAsia="仿宋_GB2312" w:hAnsiTheme="minorEastAsia" w:cstheme="minorEastAsia"/>
                <w:sz w:val="24"/>
              </w:rPr>
              <w:t>。</w:t>
            </w:r>
            <w:bookmarkStart w:id="2" w:name="_GoBack"/>
            <w:bookmarkEnd w:id="2"/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43AF6">
            <w:pPr>
              <w:spacing w:line="560" w:lineRule="exact"/>
              <w:ind w:left="-13" w:leftChars="-6"/>
              <w:jc w:val="center"/>
              <w:rPr>
                <w:rFonts w:hint="eastAsia" w:ascii="仿宋_GB2312" w:eastAsia="仿宋_GB2312" w:hAnsiTheme="minorEastAsia" w:cstheme="minorEastAsia"/>
                <w:sz w:val="24"/>
              </w:rPr>
            </w:pPr>
            <w:r>
              <w:rPr>
                <w:rFonts w:hint="eastAsia" w:ascii="仿宋_GB2312" w:eastAsia="仿宋_GB2312" w:hAnsiTheme="minorEastAsia" w:cstheme="minorEastAsia"/>
                <w:sz w:val="24"/>
              </w:rPr>
              <w:t>10</w:t>
            </w:r>
          </w:p>
        </w:tc>
      </w:tr>
    </w:tbl>
    <w:p w14:paraId="61C001EB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本次询价按符合询价要求且综合评分最高原则确定中标单位，总分为100分，计算结果保留两位数。中标候选资格按综合得分由高到低顺序排列，得分相同的，则按设计方案分由高到低确定排名。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68B227-206E-402B-9C4D-5BFDE8B343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AD3F333F-AA1B-4895-9318-6BF7EB85681D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7D40ACB9-375A-49FA-B51D-4EBF26FB316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282C786-BB4A-46F3-B0A5-E583795058BE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8C7D27B7-1EDC-48D6-A849-2041C9B52861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6EB2D9"/>
    <w:multiLevelType w:val="singleLevel"/>
    <w:tmpl w:val="F96EB2D9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F8E"/>
    <w:rsid w:val="00000FCB"/>
    <w:rsid w:val="00005A0D"/>
    <w:rsid w:val="0005689B"/>
    <w:rsid w:val="000C10B0"/>
    <w:rsid w:val="001109B9"/>
    <w:rsid w:val="00131827"/>
    <w:rsid w:val="00226744"/>
    <w:rsid w:val="002417AE"/>
    <w:rsid w:val="002601D0"/>
    <w:rsid w:val="00261895"/>
    <w:rsid w:val="002818D2"/>
    <w:rsid w:val="00324BAB"/>
    <w:rsid w:val="00336F8E"/>
    <w:rsid w:val="00340128"/>
    <w:rsid w:val="003531EA"/>
    <w:rsid w:val="00381D9C"/>
    <w:rsid w:val="003901B6"/>
    <w:rsid w:val="003C7B21"/>
    <w:rsid w:val="003E7AF1"/>
    <w:rsid w:val="00406DB0"/>
    <w:rsid w:val="00417494"/>
    <w:rsid w:val="00437336"/>
    <w:rsid w:val="0047335D"/>
    <w:rsid w:val="004B6AC5"/>
    <w:rsid w:val="004C0B33"/>
    <w:rsid w:val="0051111C"/>
    <w:rsid w:val="0051214E"/>
    <w:rsid w:val="00520334"/>
    <w:rsid w:val="005844DF"/>
    <w:rsid w:val="005A1E96"/>
    <w:rsid w:val="005A6469"/>
    <w:rsid w:val="005B7D41"/>
    <w:rsid w:val="005D7E6A"/>
    <w:rsid w:val="005E1009"/>
    <w:rsid w:val="005E35C3"/>
    <w:rsid w:val="00627797"/>
    <w:rsid w:val="00641F11"/>
    <w:rsid w:val="00691A9B"/>
    <w:rsid w:val="00693626"/>
    <w:rsid w:val="00694684"/>
    <w:rsid w:val="006C31BD"/>
    <w:rsid w:val="007337F8"/>
    <w:rsid w:val="007A6A5D"/>
    <w:rsid w:val="00851516"/>
    <w:rsid w:val="008C19DC"/>
    <w:rsid w:val="008F5E8C"/>
    <w:rsid w:val="00923F4F"/>
    <w:rsid w:val="009537CA"/>
    <w:rsid w:val="00954865"/>
    <w:rsid w:val="00984FA2"/>
    <w:rsid w:val="009862E8"/>
    <w:rsid w:val="009F0857"/>
    <w:rsid w:val="009F7D37"/>
    <w:rsid w:val="00A37E2E"/>
    <w:rsid w:val="00A71008"/>
    <w:rsid w:val="00AE14AB"/>
    <w:rsid w:val="00B34FAE"/>
    <w:rsid w:val="00B77E6B"/>
    <w:rsid w:val="00B94985"/>
    <w:rsid w:val="00CE548E"/>
    <w:rsid w:val="00CF4FC5"/>
    <w:rsid w:val="00D27368"/>
    <w:rsid w:val="00D3084B"/>
    <w:rsid w:val="00D43EE5"/>
    <w:rsid w:val="00D93B8C"/>
    <w:rsid w:val="00D973AF"/>
    <w:rsid w:val="00DF640B"/>
    <w:rsid w:val="00E022ED"/>
    <w:rsid w:val="00E24020"/>
    <w:rsid w:val="00E7509D"/>
    <w:rsid w:val="00EC123D"/>
    <w:rsid w:val="00F910B5"/>
    <w:rsid w:val="00FC1CF0"/>
    <w:rsid w:val="00FC6C62"/>
    <w:rsid w:val="0C3F29E7"/>
    <w:rsid w:val="0C5B1834"/>
    <w:rsid w:val="15EA64E1"/>
    <w:rsid w:val="1B795D21"/>
    <w:rsid w:val="1E37603B"/>
    <w:rsid w:val="270F5152"/>
    <w:rsid w:val="2BE75544"/>
    <w:rsid w:val="32FE389F"/>
    <w:rsid w:val="3785155B"/>
    <w:rsid w:val="462C5BD6"/>
    <w:rsid w:val="4A8E7AA5"/>
    <w:rsid w:val="4CA50490"/>
    <w:rsid w:val="4D9228C7"/>
    <w:rsid w:val="540C7047"/>
    <w:rsid w:val="5CAC13C7"/>
    <w:rsid w:val="5EB01ECC"/>
    <w:rsid w:val="5FBE0EC5"/>
    <w:rsid w:val="63EB0A27"/>
    <w:rsid w:val="762A53DF"/>
    <w:rsid w:val="76774CB5"/>
    <w:rsid w:val="79F317C7"/>
    <w:rsid w:val="7D011CA4"/>
    <w:rsid w:val="7FDF5F2F"/>
    <w:rsid w:val="9BBEF43C"/>
    <w:rsid w:val="B47F10EE"/>
    <w:rsid w:val="E33F36C4"/>
    <w:rsid w:val="E6EE39D5"/>
    <w:rsid w:val="F3FFFE5A"/>
    <w:rsid w:val="FFBFE6A9"/>
    <w:rsid w:val="FFFE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qFormat="1" w:unhideWhenUsed="0" w:uiPriority="99" w:semiHidden="0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index 4"/>
    <w:basedOn w:val="1"/>
    <w:next w:val="1"/>
    <w:qFormat/>
    <w:uiPriority w:val="99"/>
    <w:pPr>
      <w:ind w:left="600" w:leftChars="600"/>
    </w:pPr>
  </w:style>
  <w:style w:type="paragraph" w:styleId="12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qFormat/>
    <w:uiPriority w:val="99"/>
    <w:rPr>
      <w:sz w:val="24"/>
    </w:rPr>
  </w:style>
  <w:style w:type="paragraph" w:styleId="16">
    <w:name w:val="Title"/>
    <w:basedOn w:val="1"/>
    <w:next w:val="1"/>
    <w:link w:val="30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</w:rPr>
  </w:style>
  <w:style w:type="character" w:customStyle="1" w:styleId="21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2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5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6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7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9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明显强调1"/>
    <w:basedOn w:val="19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7">
    <w:name w:val="明显引用 字符"/>
    <w:basedOn w:val="19"/>
    <w:link w:val="36"/>
    <w:qFormat/>
    <w:uiPriority w:val="30"/>
    <w:rPr>
      <w:i/>
      <w:iCs/>
      <w:color w:val="2F5597" w:themeColor="accent1" w:themeShade="BF"/>
    </w:rPr>
  </w:style>
  <w:style w:type="character" w:customStyle="1" w:styleId="38">
    <w:name w:val="明显参考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页眉 字符"/>
    <w:basedOn w:val="19"/>
    <w:link w:val="13"/>
    <w:qFormat/>
    <w:uiPriority w:val="99"/>
    <w:rPr>
      <w:sz w:val="18"/>
      <w:szCs w:val="18"/>
    </w:rPr>
  </w:style>
  <w:style w:type="character" w:customStyle="1" w:styleId="40">
    <w:name w:val="页脚 字符"/>
    <w:basedOn w:val="19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1394</Words>
  <Characters>1487</Characters>
  <Lines>11</Lines>
  <Paragraphs>3</Paragraphs>
  <TotalTime>541</TotalTime>
  <ScaleCrop>false</ScaleCrop>
  <LinksUpToDate>false</LinksUpToDate>
  <CharactersWithSpaces>1487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2025-04-16T18:31:00Z</dcterms:created>
  <dc:creator>Howie Qin</dc:creator>
  <cp:lastModifiedBy>徐州假汪汪</cp:lastModifiedBy>
  <cp:lastPrinted>2025-11-03T03:22:00Z</cp:lastPrinted>
  <dcterms:modified xsi:type="dcterms:W3CDTF">2025-11-04T05:48:18Z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eyJoZGlkIjoiZmI1YmI1NzM2NDM5ZmYxZWMzNGM2ODU1MjU5N2I0ODIiLCJ1c2VySWQiOiI1MDM5OTY1MzcifQ==</vt:lpwstr>
  </property>
  <property fmtid="{D5CDD505-2E9C-101B-9397-08002B2CF9AE}" pid="3" name="KSOProductBuildVer">
    <vt:lpwstr>2052-12.1.0.23542</vt:lpwstr>
  </property>
  <property fmtid="{D5CDD505-2E9C-101B-9397-08002B2CF9AE}" pid="4" name="ICV">
    <vt:lpwstr>20B46D128B644A20965C51AD151CE4FD_13</vt:lpwstr>
  </property>
</Properties>
</file>